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81ABE" w14:textId="77777777" w:rsidR="00304852" w:rsidRPr="00B2127F" w:rsidRDefault="00304852">
      <w:pPr>
        <w:pBdr>
          <w:bottom w:val="single" w:sz="18" w:space="1" w:color="2F855A"/>
        </w:pBdr>
        <w:spacing w:after="480"/>
        <w:rPr>
          <w:lang w:val="es-ES"/>
        </w:rPr>
      </w:pPr>
    </w:p>
    <w:p w14:paraId="3A7D2522" w14:textId="3D8CEF2F" w:rsidR="00304852" w:rsidRDefault="39BDD661" w:rsidP="79A36207">
      <w:pPr>
        <w:spacing w:after="120"/>
        <w:rPr>
          <w:rFonts w:ascii="Arial" w:hAnsi="Arial"/>
          <w:b/>
          <w:bCs/>
          <w:color w:val="1A202C"/>
          <w:sz w:val="36"/>
          <w:szCs w:val="36"/>
          <w:lang w:val="es-ES"/>
        </w:rPr>
      </w:pPr>
      <w:r w:rsidRPr="79A36207">
        <w:rPr>
          <w:rFonts w:ascii="Arial" w:hAnsi="Arial"/>
          <w:b/>
          <w:bCs/>
          <w:color w:val="1A202C"/>
          <w:sz w:val="36"/>
          <w:szCs w:val="36"/>
          <w:lang w:val="es-ES"/>
        </w:rPr>
        <w:t xml:space="preserve">DOSSIER DE PRENSA </w:t>
      </w:r>
      <w:r w:rsidR="11A2AF30" w:rsidRPr="79A36207">
        <w:rPr>
          <w:rFonts w:ascii="Arial" w:hAnsi="Arial"/>
          <w:b/>
          <w:bCs/>
          <w:color w:val="1A202C"/>
          <w:sz w:val="36"/>
          <w:szCs w:val="36"/>
          <w:lang w:val="es-ES"/>
        </w:rPr>
        <w:t xml:space="preserve">– </w:t>
      </w:r>
      <w:r w:rsidR="568E0D81" w:rsidRPr="79A36207">
        <w:rPr>
          <w:rFonts w:ascii="Arial" w:hAnsi="Arial"/>
          <w:b/>
          <w:bCs/>
          <w:color w:val="1A202C"/>
          <w:sz w:val="36"/>
          <w:szCs w:val="36"/>
          <w:lang w:val="es-ES"/>
        </w:rPr>
        <w:t xml:space="preserve">Press Trip </w:t>
      </w:r>
      <w:r w:rsidR="005A67F1">
        <w:rPr>
          <w:rFonts w:ascii="Arial" w:hAnsi="Arial"/>
          <w:b/>
          <w:bCs/>
          <w:color w:val="1A202C"/>
          <w:sz w:val="36"/>
          <w:szCs w:val="36"/>
          <w:lang w:val="es-ES"/>
        </w:rPr>
        <w:t>Huelva</w:t>
      </w:r>
    </w:p>
    <w:p w14:paraId="2CDD4F4B" w14:textId="0867F300" w:rsidR="00304852" w:rsidRDefault="005A67F1" w:rsidP="79A36207">
      <w:pPr>
        <w:spacing w:after="120"/>
        <w:rPr>
          <w:rFonts w:ascii="Arial" w:hAnsi="Arial"/>
          <w:b/>
          <w:bCs/>
          <w:color w:val="808080" w:themeColor="background1" w:themeShade="80"/>
          <w:sz w:val="20"/>
          <w:szCs w:val="20"/>
          <w:lang w:val="es-ES"/>
        </w:rPr>
      </w:pPr>
      <w:r>
        <w:rPr>
          <w:rFonts w:ascii="Arial" w:hAnsi="Arial"/>
          <w:b/>
          <w:bCs/>
          <w:color w:val="808080" w:themeColor="background1" w:themeShade="80"/>
          <w:sz w:val="20"/>
          <w:szCs w:val="20"/>
          <w:lang w:val="es-ES"/>
        </w:rPr>
        <w:t>23</w:t>
      </w:r>
      <w:r w:rsidR="568E0D81" w:rsidRPr="79A36207">
        <w:rPr>
          <w:rFonts w:ascii="Arial" w:hAnsi="Arial"/>
          <w:b/>
          <w:bCs/>
          <w:color w:val="808080" w:themeColor="background1" w:themeShade="80"/>
          <w:sz w:val="20"/>
          <w:szCs w:val="20"/>
          <w:lang w:val="es-ES"/>
        </w:rPr>
        <w:t xml:space="preserve"> </w:t>
      </w:r>
      <w:r w:rsidRPr="79A36207">
        <w:rPr>
          <w:rFonts w:ascii="Arial" w:hAnsi="Arial"/>
          <w:b/>
          <w:bCs/>
          <w:color w:val="808080" w:themeColor="background1" w:themeShade="80"/>
          <w:sz w:val="20"/>
          <w:szCs w:val="20"/>
          <w:lang w:val="es-ES"/>
        </w:rPr>
        <w:t>junio</w:t>
      </w:r>
      <w:r w:rsidR="568E0D81" w:rsidRPr="79A36207">
        <w:rPr>
          <w:rFonts w:ascii="Arial" w:hAnsi="Arial"/>
          <w:b/>
          <w:bCs/>
          <w:color w:val="808080" w:themeColor="background1" w:themeShade="80"/>
          <w:sz w:val="20"/>
          <w:szCs w:val="20"/>
          <w:lang w:val="es-ES"/>
        </w:rPr>
        <w:t xml:space="preserve"> 2026</w:t>
      </w:r>
    </w:p>
    <w:p w14:paraId="3B8A8768" w14:textId="1D25436B" w:rsidR="00304852" w:rsidRDefault="00844892" w:rsidP="79A36207">
      <w:pPr>
        <w:spacing w:after="120"/>
        <w:rPr>
          <w:rFonts w:ascii="Arial" w:hAnsi="Arial"/>
          <w:b/>
          <w:bCs/>
          <w:color w:val="1A202C"/>
          <w:sz w:val="36"/>
          <w:szCs w:val="36"/>
          <w:lang w:val="es-ES"/>
        </w:rPr>
      </w:pPr>
      <w:r w:rsidRPr="00AF742D">
        <w:rPr>
          <w:lang w:val="es-ES"/>
        </w:rPr>
        <w:br/>
      </w:r>
    </w:p>
    <w:p w14:paraId="5AE6B2BA" w14:textId="6D8F19CD" w:rsidR="00304852" w:rsidRDefault="3D6F8050" w:rsidP="79A36207">
      <w:pPr>
        <w:spacing w:after="120"/>
        <w:rPr>
          <w:rFonts w:ascii="Arial" w:hAnsi="Arial"/>
          <w:b/>
          <w:bCs/>
          <w:color w:val="1A202C"/>
          <w:sz w:val="36"/>
          <w:szCs w:val="36"/>
          <w:lang w:val="es-ES"/>
        </w:rPr>
      </w:pPr>
      <w:r w:rsidRPr="79A36207">
        <w:rPr>
          <w:rFonts w:ascii="Arial" w:hAnsi="Arial"/>
          <w:b/>
          <w:bCs/>
          <w:color w:val="1A202C"/>
          <w:sz w:val="36"/>
          <w:szCs w:val="36"/>
          <w:lang w:val="es-ES"/>
        </w:rPr>
        <w:t>La agricultura ecológica: solución estratégica y oportunidad ante los desafíos globales</w:t>
      </w:r>
    </w:p>
    <w:p w14:paraId="2BA32E92" w14:textId="2E3E5D2C" w:rsidR="005A67F1" w:rsidRPr="005A67F1" w:rsidRDefault="5548E160" w:rsidP="79A36207">
      <w:pPr>
        <w:pBdr>
          <w:left w:val="single" w:sz="12" w:space="8" w:color="CBD5E0"/>
        </w:pBdr>
        <w:spacing w:after="480" w:line="288" w:lineRule="auto"/>
        <w:rPr>
          <w:rFonts w:ascii="Arial" w:eastAsia="Arial" w:hAnsi="Arial" w:cs="Arial"/>
          <w:color w:val="2D3748"/>
          <w:sz w:val="23"/>
          <w:szCs w:val="23"/>
          <w:lang w:val="es-ES"/>
        </w:rPr>
      </w:pPr>
      <w:r w:rsidRPr="79A36207">
        <w:rPr>
          <w:rFonts w:ascii="Arial" w:eastAsia="Arial" w:hAnsi="Arial" w:cs="Arial"/>
          <w:color w:val="2D3748"/>
          <w:sz w:val="23"/>
          <w:szCs w:val="23"/>
          <w:lang w:val="es-ES"/>
        </w:rPr>
        <w:t>Desde Ecovalia afrontamos el escenario agroalimentario actual con un mensaje de firme optimismo, liderazgo y determinación. La producción ecológica se consolida como la herramienta más potente, rentable y autosuficiente con la que cuenta España y Europa</w:t>
      </w:r>
      <w:r w:rsidR="4F4B0D5A" w:rsidRPr="79A36207">
        <w:rPr>
          <w:rFonts w:ascii="Arial" w:eastAsia="Arial" w:hAnsi="Arial" w:cs="Arial"/>
          <w:color w:val="2D3748"/>
          <w:sz w:val="23"/>
          <w:szCs w:val="23"/>
          <w:lang w:val="es-ES"/>
        </w:rPr>
        <w:t>,</w:t>
      </w:r>
      <w:r w:rsidRPr="79A36207">
        <w:rPr>
          <w:rFonts w:ascii="Arial" w:eastAsia="Arial" w:hAnsi="Arial" w:cs="Arial"/>
          <w:color w:val="2D3748"/>
          <w:sz w:val="23"/>
          <w:szCs w:val="23"/>
          <w:lang w:val="es-ES"/>
        </w:rPr>
        <w:t xml:space="preserve"> para ganar soberanía alimentaria y hacer frente de manera definitiva a las crisis geopolíticas y a la volatilidad de los mercados energéticos globales.</w:t>
      </w:r>
    </w:p>
    <w:p w14:paraId="1F18E55B" w14:textId="6F5FFABB" w:rsidR="1C5404B1" w:rsidRDefault="005A67F1" w:rsidP="0874C4A6">
      <w:pPr>
        <w:keepNext/>
        <w:pBdr>
          <w:left w:val="single" w:sz="24" w:space="8" w:color="38A169"/>
        </w:pBdr>
        <w:spacing w:before="440"/>
        <w:rPr>
          <w:lang w:val="es-ES"/>
        </w:rPr>
      </w:pPr>
      <w:r>
        <w:rPr>
          <w:rFonts w:ascii="Arial" w:hAnsi="Arial"/>
          <w:b/>
          <w:bCs/>
          <w:color w:val="2F855A"/>
          <w:sz w:val="28"/>
          <w:szCs w:val="28"/>
          <w:lang w:val="es-ES"/>
        </w:rPr>
        <w:br/>
      </w:r>
      <w:r w:rsidR="1C5404B1" w:rsidRPr="0874C4A6">
        <w:rPr>
          <w:rFonts w:ascii="Arial" w:hAnsi="Arial"/>
          <w:b/>
          <w:bCs/>
          <w:color w:val="2F855A"/>
          <w:sz w:val="28"/>
          <w:szCs w:val="28"/>
          <w:lang w:val="es-ES"/>
        </w:rPr>
        <w:t>1. El Frente Político de la PAC: La Necesidad y Defensa de una Inversión de 1.000 Millones</w:t>
      </w:r>
    </w:p>
    <w:p w14:paraId="6D816C67" w14:textId="77777777" w:rsidR="1C5404B1" w:rsidRDefault="1C5404B1" w:rsidP="0874C4A6">
      <w:pPr>
        <w:rPr>
          <w:lang w:val="es-ES"/>
        </w:rPr>
      </w:pPr>
      <w:r w:rsidRPr="0874C4A6">
        <w:rPr>
          <w:rFonts w:ascii="Arial" w:hAnsi="Arial"/>
          <w:sz w:val="21"/>
          <w:szCs w:val="21"/>
          <w:lang w:val="es-ES"/>
        </w:rPr>
        <w:t>Consolidar y defender el indiscutible liderazgo que España ostenta en Europa exige una decidida correspondencia presupuestaria e institucional. Con el objetivo de blindar estas partidas y asegurar que el campo español continúe su senda de expansión con plenas garantías de rentabilidad, una delegación de Ecovalia, encabezada por su secretario general, Diego Granado, y la directora de la Oficina de Bruselas, Evelyne Alcázar, ha desarrollado una intensa agenda de trabajo directo con las eurodiputadas de la Comisión de Agricultura del Parlamento Europeo.</w:t>
      </w:r>
    </w:p>
    <w:p w14:paraId="6B1B3C9A" w14:textId="090398E6" w:rsidR="1C5404B1" w:rsidRDefault="14DAE99E" w:rsidP="0874C4A6">
      <w:pPr>
        <w:rPr>
          <w:lang w:val="es-ES"/>
        </w:rPr>
      </w:pPr>
      <w:r w:rsidRPr="79A36207">
        <w:rPr>
          <w:rFonts w:ascii="Arial" w:hAnsi="Arial"/>
          <w:sz w:val="21"/>
          <w:szCs w:val="21"/>
          <w:lang w:val="es-ES"/>
        </w:rPr>
        <w:t xml:space="preserve">En los encuentros mantenidos de forma unánime con Carmen Crespo (PP), Cristina Maestre (PSOE) y Mireia Borrás (VOX), Ecovalia ha planteado con total firmeza que la nueva Política Agrícola Común (PAC) debe blindar de forma absoluta los recursos asignados a los productores ecológicos. </w:t>
      </w:r>
    </w:p>
    <w:p w14:paraId="43E91A0A" w14:textId="68821529" w:rsidR="1C5404B1" w:rsidRDefault="1C5404B1" w:rsidP="0874C4A6">
      <w:pPr>
        <w:rPr>
          <w:rFonts w:ascii="Arial" w:eastAsia="Arial" w:hAnsi="Arial" w:cs="Arial"/>
          <w:color w:val="000000" w:themeColor="text1"/>
          <w:sz w:val="21"/>
          <w:szCs w:val="21"/>
          <w:lang w:val="es-ES"/>
        </w:rPr>
      </w:pPr>
      <w:r w:rsidRPr="0874C4A6">
        <w:rPr>
          <w:rFonts w:ascii="Arial" w:eastAsia="Arial" w:hAnsi="Arial" w:cs="Arial"/>
          <w:color w:val="000000" w:themeColor="text1"/>
          <w:sz w:val="21"/>
          <w:szCs w:val="21"/>
          <w:lang w:val="es-ES"/>
        </w:rPr>
        <w:t xml:space="preserve">Actualmente España cuenta con más de 3 millones de hectáreas en producción ecológica (PE), liderando el ranking en Europa. Pero la evolución histórica de la superficie ecológica española demuestra que su crecimiento sostenido está directamente relacionado con el apoyo financiero de la PAC y que dicho crecimiento se interrumpe en momentos de vacío, incertidumbre o financiación insuficiente. </w:t>
      </w:r>
    </w:p>
    <w:p w14:paraId="25B236E5" w14:textId="6ACD62DD" w:rsidR="1C5404B1" w:rsidRDefault="14DAE99E" w:rsidP="79A36207">
      <w:pPr>
        <w:rPr>
          <w:rFonts w:ascii="Arial" w:eastAsia="Arial" w:hAnsi="Arial" w:cs="Arial"/>
          <w:sz w:val="21"/>
          <w:szCs w:val="21"/>
          <w:lang w:val="es-ES"/>
        </w:rPr>
      </w:pPr>
      <w:r w:rsidRPr="79A36207">
        <w:rPr>
          <w:rFonts w:ascii="Arial" w:eastAsia="Arial" w:hAnsi="Arial" w:cs="Arial"/>
          <w:sz w:val="21"/>
          <w:szCs w:val="21"/>
          <w:lang w:val="es-ES"/>
        </w:rPr>
        <w:t>La producción ecológica española precisa de estabilidad y apoyo financiero suficiente para que la viabilidad del campo europeo no se vea amenazada. Debe contemplarse como un área prioritaria, con un presupuesto definido en el Marco Financiero Plurianual. Ecovalia estima que, para cubrir con éxito las necesidades reales de las explotaciones del país,</w:t>
      </w:r>
      <w:r w:rsidR="36153DE5" w:rsidRPr="79A36207">
        <w:rPr>
          <w:rFonts w:ascii="Arial" w:eastAsia="Arial" w:hAnsi="Arial" w:cs="Arial"/>
          <w:sz w:val="21"/>
          <w:szCs w:val="21"/>
          <w:lang w:val="es-ES"/>
        </w:rPr>
        <w:t xml:space="preserve"> es necesario establecer una referencia mínima del 3% de la dotación presupuestaria agraria destinada específicamente a producción ecológica, como garantía básica para evitar retrocesos en superficie, operadores e inversiones. </w:t>
      </w:r>
      <w:r w:rsidRPr="79A36207">
        <w:rPr>
          <w:rFonts w:ascii="Arial" w:eastAsia="Arial" w:hAnsi="Arial" w:cs="Arial"/>
          <w:sz w:val="21"/>
          <w:szCs w:val="21"/>
          <w:lang w:val="es-ES"/>
        </w:rPr>
        <w:t xml:space="preserve">España requiere de una dotación neta e innegociable de 1.000 millones de euros. </w:t>
      </w:r>
    </w:p>
    <w:p w14:paraId="1BDCC0CE" w14:textId="21AB7026" w:rsidR="1C5404B1" w:rsidRPr="00B4221E" w:rsidRDefault="14DAE99E" w:rsidP="0874C4A6">
      <w:pPr>
        <w:rPr>
          <w:rFonts w:ascii="Aptos" w:eastAsia="Aptos" w:hAnsi="Aptos" w:cs="Aptos"/>
          <w:color w:val="C00000"/>
          <w:sz w:val="16"/>
          <w:szCs w:val="16"/>
          <w:lang w:val="es-ES"/>
        </w:rPr>
      </w:pPr>
      <w:r w:rsidRPr="79A36207">
        <w:rPr>
          <w:rFonts w:ascii="Arial" w:hAnsi="Arial"/>
          <w:sz w:val="21"/>
          <w:szCs w:val="21"/>
          <w:lang w:val="es-ES"/>
        </w:rPr>
        <w:t xml:space="preserve">En el Plan Estratégico de la PAC en España 2023-27, con un presupuesto de 838 millones de euros, se produjo una reducción del 11% de ayuda en relación con el período anterior. Concretamente en 2024, se produjo una pérdida de 47.000 hectáreas en producción ecológica y 1.800 operadores causaron </w:t>
      </w:r>
      <w:r w:rsidRPr="00CA479C">
        <w:rPr>
          <w:rFonts w:ascii="Arial" w:hAnsi="Arial"/>
          <w:sz w:val="21"/>
          <w:szCs w:val="21"/>
          <w:lang w:val="es-ES"/>
        </w:rPr>
        <w:t xml:space="preserve">baja </w:t>
      </w:r>
      <w:r w:rsidR="00B4221E" w:rsidRPr="00CA479C">
        <w:rPr>
          <w:rFonts w:ascii="Arial" w:hAnsi="Arial"/>
          <w:sz w:val="21"/>
          <w:szCs w:val="21"/>
          <w:lang w:val="es-ES"/>
        </w:rPr>
        <w:t>en la producción ecológica, especialmente en cultivos de menor valor añadido, pero que suponen una gestión ambiental de gran valor para vastas áreas de superficie agrícola de nue</w:t>
      </w:r>
      <w:r w:rsidR="007C69E3" w:rsidRPr="00CA479C">
        <w:rPr>
          <w:rFonts w:ascii="Arial" w:hAnsi="Arial"/>
          <w:sz w:val="21"/>
          <w:szCs w:val="21"/>
          <w:lang w:val="es-ES"/>
        </w:rPr>
        <w:t>s</w:t>
      </w:r>
      <w:r w:rsidR="00B4221E" w:rsidRPr="00CA479C">
        <w:rPr>
          <w:rFonts w:ascii="Arial" w:hAnsi="Arial"/>
          <w:sz w:val="21"/>
          <w:szCs w:val="21"/>
          <w:lang w:val="es-ES"/>
        </w:rPr>
        <w:t>tro país.</w:t>
      </w:r>
      <w:r w:rsidRPr="00CA479C">
        <w:rPr>
          <w:rFonts w:ascii="Arial" w:hAnsi="Arial"/>
          <w:sz w:val="21"/>
          <w:szCs w:val="21"/>
          <w:lang w:val="es-ES"/>
        </w:rPr>
        <w:t xml:space="preserve"> </w:t>
      </w:r>
    </w:p>
    <w:p w14:paraId="290CFCE0" w14:textId="4CBC3F8E" w:rsidR="7859D596" w:rsidRDefault="7859D596" w:rsidP="79A36207">
      <w:pPr>
        <w:rPr>
          <w:rFonts w:ascii="Arial" w:hAnsi="Arial"/>
          <w:sz w:val="21"/>
          <w:szCs w:val="21"/>
          <w:lang w:val="es-ES"/>
        </w:rPr>
      </w:pPr>
      <w:r w:rsidRPr="79A36207">
        <w:rPr>
          <w:rFonts w:ascii="Arial" w:hAnsi="Arial"/>
          <w:sz w:val="21"/>
          <w:szCs w:val="21"/>
          <w:lang w:val="es-ES"/>
        </w:rPr>
        <w:t xml:space="preserve">Ecovalia </w:t>
      </w:r>
      <w:r w:rsidR="2FCEF645" w:rsidRPr="79A36207">
        <w:rPr>
          <w:rFonts w:ascii="Arial" w:hAnsi="Arial"/>
          <w:sz w:val="21"/>
          <w:szCs w:val="21"/>
          <w:lang w:val="es-ES"/>
        </w:rPr>
        <w:t xml:space="preserve">considera </w:t>
      </w:r>
      <w:r w:rsidRPr="79A36207">
        <w:rPr>
          <w:rFonts w:ascii="Arial" w:hAnsi="Arial"/>
          <w:sz w:val="21"/>
          <w:szCs w:val="21"/>
          <w:lang w:val="es-ES"/>
        </w:rPr>
        <w:t>esencial</w:t>
      </w:r>
      <w:r w:rsidR="7E628B11" w:rsidRPr="79A36207">
        <w:rPr>
          <w:rFonts w:ascii="Arial" w:hAnsi="Arial"/>
          <w:sz w:val="21"/>
          <w:szCs w:val="21"/>
          <w:lang w:val="es-ES"/>
        </w:rPr>
        <w:t xml:space="preserve"> para el sector ecológico español</w:t>
      </w:r>
      <w:r w:rsidRPr="79A36207">
        <w:rPr>
          <w:rFonts w:ascii="Arial" w:hAnsi="Arial"/>
          <w:sz w:val="21"/>
          <w:szCs w:val="21"/>
          <w:lang w:val="es-ES"/>
        </w:rPr>
        <w:t>:</w:t>
      </w:r>
    </w:p>
    <w:p w14:paraId="60DC104A" w14:textId="6754ABDB" w:rsidR="7F6DB351" w:rsidRDefault="7F6DB351" w:rsidP="79A36207">
      <w:pPr>
        <w:pStyle w:val="ListParagraph"/>
        <w:numPr>
          <w:ilvl w:val="0"/>
          <w:numId w:val="5"/>
        </w:numPr>
        <w:rPr>
          <w:rFonts w:ascii="Arial" w:hAnsi="Arial"/>
          <w:b/>
          <w:bCs/>
          <w:sz w:val="21"/>
          <w:szCs w:val="21"/>
          <w:lang w:val="es-ES"/>
        </w:rPr>
      </w:pPr>
      <w:r w:rsidRPr="79A36207">
        <w:rPr>
          <w:rFonts w:ascii="Arial" w:hAnsi="Arial"/>
          <w:b/>
          <w:bCs/>
          <w:sz w:val="21"/>
          <w:szCs w:val="21"/>
          <w:lang w:val="es-ES"/>
        </w:rPr>
        <w:t xml:space="preserve">Mantener la capacidad competitiva y posición estratégica en mercados internacionales </w:t>
      </w:r>
    </w:p>
    <w:p w14:paraId="395D7C55" w14:textId="12F58AF9" w:rsidR="7F6DB351" w:rsidRDefault="7F6DB351" w:rsidP="79A36207">
      <w:pPr>
        <w:rPr>
          <w:rFonts w:ascii="Arial" w:hAnsi="Arial"/>
          <w:sz w:val="21"/>
          <w:szCs w:val="21"/>
          <w:lang w:val="es-ES"/>
        </w:rPr>
      </w:pPr>
      <w:r w:rsidRPr="79A36207">
        <w:rPr>
          <w:rFonts w:ascii="Arial" w:hAnsi="Arial"/>
          <w:sz w:val="21"/>
          <w:szCs w:val="21"/>
          <w:lang w:val="es-ES"/>
        </w:rPr>
        <w:t>España es la primera potencia ecológica europea y sexta del mundo en superficie ecológica</w:t>
      </w:r>
      <w:r w:rsidR="2A3EBD47" w:rsidRPr="79A36207">
        <w:rPr>
          <w:rFonts w:ascii="Arial" w:hAnsi="Arial"/>
          <w:sz w:val="21"/>
          <w:szCs w:val="21"/>
          <w:lang w:val="es-ES"/>
        </w:rPr>
        <w:t xml:space="preserve">, </w:t>
      </w:r>
      <w:r w:rsidR="7F90C3E4" w:rsidRPr="79A36207">
        <w:rPr>
          <w:rFonts w:ascii="Arial" w:hAnsi="Arial"/>
          <w:sz w:val="21"/>
          <w:szCs w:val="21"/>
          <w:lang w:val="es-ES"/>
        </w:rPr>
        <w:t xml:space="preserve">por lo que </w:t>
      </w:r>
      <w:r w:rsidRPr="79A36207">
        <w:rPr>
          <w:rFonts w:ascii="Arial" w:hAnsi="Arial"/>
          <w:sz w:val="21"/>
          <w:szCs w:val="21"/>
          <w:lang w:val="es-ES"/>
        </w:rPr>
        <w:t xml:space="preserve">requiere de mayores ayudas. </w:t>
      </w:r>
      <w:r w:rsidR="3965272A" w:rsidRPr="79A36207">
        <w:rPr>
          <w:rFonts w:ascii="Arial" w:hAnsi="Arial"/>
          <w:sz w:val="21"/>
          <w:szCs w:val="21"/>
          <w:lang w:val="es-ES"/>
        </w:rPr>
        <w:t xml:space="preserve"> </w:t>
      </w:r>
    </w:p>
    <w:p w14:paraId="7D4A9ABE" w14:textId="74CD2C09" w:rsidR="495941E9" w:rsidRDefault="495941E9" w:rsidP="79A36207">
      <w:pPr>
        <w:rPr>
          <w:rFonts w:ascii="Arial" w:hAnsi="Arial"/>
          <w:sz w:val="21"/>
          <w:szCs w:val="21"/>
          <w:lang w:val="es-ES"/>
        </w:rPr>
      </w:pPr>
      <w:r w:rsidRPr="79A36207">
        <w:rPr>
          <w:rFonts w:ascii="Arial" w:hAnsi="Arial"/>
          <w:sz w:val="21"/>
          <w:szCs w:val="21"/>
          <w:lang w:val="es-ES"/>
        </w:rPr>
        <w:t>E</w:t>
      </w:r>
      <w:r w:rsidR="3965272A" w:rsidRPr="79A36207">
        <w:rPr>
          <w:rFonts w:ascii="Arial" w:hAnsi="Arial"/>
          <w:sz w:val="21"/>
          <w:szCs w:val="21"/>
          <w:lang w:val="es-ES"/>
        </w:rPr>
        <w:t xml:space="preserve">s el </w:t>
      </w:r>
      <w:r w:rsidR="7F6DB351" w:rsidRPr="79A36207">
        <w:rPr>
          <w:rFonts w:ascii="Arial" w:hAnsi="Arial"/>
          <w:sz w:val="21"/>
          <w:szCs w:val="21"/>
          <w:lang w:val="es-ES"/>
        </w:rPr>
        <w:t>tercer país mundial en número de exportadores (7,4%), batiendo récords consecutivos de exportaciones, con un crecimiento del 27,5% en 2024. Las importaciones se han reducido a la mitad, elevando la balanza comercial a más de 3 mill</w:t>
      </w:r>
      <w:r w:rsidR="61BFE406" w:rsidRPr="79A36207">
        <w:rPr>
          <w:rFonts w:ascii="Arial" w:hAnsi="Arial"/>
          <w:sz w:val="21"/>
          <w:szCs w:val="21"/>
          <w:lang w:val="es-ES"/>
        </w:rPr>
        <w:t>ones de euros</w:t>
      </w:r>
      <w:r w:rsidR="7F6DB351" w:rsidRPr="79A36207">
        <w:rPr>
          <w:rFonts w:ascii="Arial" w:hAnsi="Arial"/>
          <w:sz w:val="21"/>
          <w:szCs w:val="21"/>
          <w:lang w:val="es-ES"/>
        </w:rPr>
        <w:t xml:space="preserve">, un superávit comercial históricamente inédito.  </w:t>
      </w:r>
    </w:p>
    <w:p w14:paraId="204848AE" w14:textId="4AD4707F" w:rsidR="7F6DB351" w:rsidRPr="00AF742D" w:rsidRDefault="7F6DB351" w:rsidP="79A36207">
      <w:pPr>
        <w:rPr>
          <w:lang w:val="es-ES"/>
        </w:rPr>
      </w:pPr>
      <w:r w:rsidRPr="79A36207">
        <w:rPr>
          <w:rFonts w:ascii="Arial" w:hAnsi="Arial"/>
          <w:sz w:val="21"/>
          <w:szCs w:val="21"/>
          <w:lang w:val="es-ES"/>
        </w:rPr>
        <w:t xml:space="preserve">El valor de la PE en origen ha aumentado un 350% desde 2012, lo que supone un retorno económico estructural ligado directamente a un apoyo económico estable.  </w:t>
      </w:r>
    </w:p>
    <w:p w14:paraId="4F806044" w14:textId="44AFBC07" w:rsidR="7F6DB351" w:rsidRDefault="7F6DB351" w:rsidP="79A36207">
      <w:pPr>
        <w:pStyle w:val="ListParagraph"/>
        <w:numPr>
          <w:ilvl w:val="0"/>
          <w:numId w:val="5"/>
        </w:numPr>
        <w:rPr>
          <w:rFonts w:ascii="Arial" w:hAnsi="Arial"/>
          <w:b/>
          <w:bCs/>
          <w:sz w:val="21"/>
          <w:szCs w:val="21"/>
          <w:lang w:val="es-ES"/>
        </w:rPr>
      </w:pPr>
      <w:r w:rsidRPr="79A36207">
        <w:rPr>
          <w:rFonts w:ascii="Arial" w:hAnsi="Arial"/>
          <w:sz w:val="21"/>
          <w:szCs w:val="21"/>
          <w:lang w:val="es-ES"/>
        </w:rPr>
        <w:t xml:space="preserve"> </w:t>
      </w:r>
      <w:r w:rsidRPr="79A36207">
        <w:rPr>
          <w:rFonts w:ascii="Arial" w:hAnsi="Arial"/>
          <w:b/>
          <w:bCs/>
          <w:sz w:val="21"/>
          <w:szCs w:val="21"/>
          <w:lang w:val="es-ES"/>
        </w:rPr>
        <w:t xml:space="preserve">Garantizar la seguridad alimentaria y autonomía estratégica </w:t>
      </w:r>
    </w:p>
    <w:p w14:paraId="3FF26396" w14:textId="5AF6F164" w:rsidR="7F6DB351" w:rsidRPr="00AF742D" w:rsidRDefault="7F6DB351" w:rsidP="79A36207">
      <w:pPr>
        <w:rPr>
          <w:lang w:val="es-ES"/>
        </w:rPr>
      </w:pPr>
      <w:r w:rsidRPr="79A36207">
        <w:rPr>
          <w:rFonts w:ascii="Arial" w:hAnsi="Arial"/>
          <w:sz w:val="21"/>
          <w:szCs w:val="21"/>
          <w:lang w:val="es-ES"/>
        </w:rPr>
        <w:t xml:space="preserve">La PE reduce estructuralmente la dependencia de insumos importados vinculados a combustibles fósiles:  75-100 % en fitosanitarios y 45-90 % en fertilizantes.  </w:t>
      </w:r>
    </w:p>
    <w:p w14:paraId="6F040018" w14:textId="598A5AFF" w:rsidR="7F6DB351" w:rsidRPr="00AF742D" w:rsidRDefault="7F6DB351" w:rsidP="79A36207">
      <w:pPr>
        <w:rPr>
          <w:lang w:val="es-ES"/>
        </w:rPr>
      </w:pPr>
      <w:r w:rsidRPr="79A36207">
        <w:rPr>
          <w:rFonts w:ascii="Arial" w:hAnsi="Arial"/>
          <w:sz w:val="21"/>
          <w:szCs w:val="21"/>
          <w:lang w:val="es-ES"/>
        </w:rPr>
        <w:t xml:space="preserve">Los fabricantes de bioinsumos españoles prevén estabilidad en los precios, ya que su dependencia de materias primas fósiles es menor. </w:t>
      </w:r>
    </w:p>
    <w:p w14:paraId="442C503C" w14:textId="154AF512" w:rsidR="7F6DB351" w:rsidRPr="00AF742D" w:rsidRDefault="7F6DB351" w:rsidP="79A36207">
      <w:pPr>
        <w:rPr>
          <w:lang w:val="es-ES"/>
        </w:rPr>
      </w:pPr>
      <w:r w:rsidRPr="79A36207">
        <w:rPr>
          <w:rFonts w:ascii="Arial" w:hAnsi="Arial"/>
          <w:sz w:val="21"/>
          <w:szCs w:val="21"/>
          <w:lang w:val="es-ES"/>
        </w:rPr>
        <w:t xml:space="preserve">El presupuesto PAC para ecológico en España es insuficiente para mantener la superficie actual, amenazando la autonomía estratégica que el sector ya provee.  </w:t>
      </w:r>
    </w:p>
    <w:p w14:paraId="5C2153BF" w14:textId="1CE56E30" w:rsidR="7F6DB351" w:rsidRDefault="7F6DB351" w:rsidP="79A36207">
      <w:pPr>
        <w:pStyle w:val="ListParagraph"/>
        <w:numPr>
          <w:ilvl w:val="0"/>
          <w:numId w:val="5"/>
        </w:numPr>
        <w:rPr>
          <w:rFonts w:ascii="Arial" w:hAnsi="Arial"/>
          <w:b/>
          <w:bCs/>
          <w:sz w:val="21"/>
          <w:szCs w:val="21"/>
          <w:lang w:val="es-ES"/>
        </w:rPr>
      </w:pPr>
      <w:r w:rsidRPr="79A36207">
        <w:rPr>
          <w:rFonts w:ascii="Arial" w:hAnsi="Arial"/>
          <w:b/>
          <w:bCs/>
          <w:sz w:val="21"/>
          <w:szCs w:val="21"/>
          <w:lang w:val="es-ES"/>
        </w:rPr>
        <w:t xml:space="preserve">Posibilitar el relevo generacional y atracción de jóvenes al sector </w:t>
      </w:r>
    </w:p>
    <w:p w14:paraId="181AF571" w14:textId="3CAF8833" w:rsidR="7F6DB351" w:rsidRPr="00AF742D" w:rsidRDefault="7F6DB351" w:rsidP="79A36207">
      <w:pPr>
        <w:rPr>
          <w:lang w:val="es-ES"/>
        </w:rPr>
      </w:pPr>
      <w:r w:rsidRPr="79A36207">
        <w:rPr>
          <w:rFonts w:ascii="Arial" w:hAnsi="Arial"/>
          <w:sz w:val="21"/>
          <w:szCs w:val="21"/>
          <w:lang w:val="es-ES"/>
        </w:rPr>
        <w:t xml:space="preserve">El campo español tiene un problema estructural de envejecimiento que hace urgente el apoyo a modelos atractivos para los jóvenes. España supera con creces la media europea: los mayores de 65 años representan el 41,3% del censo agrario frente al 33,2% de media de la UE. </w:t>
      </w:r>
    </w:p>
    <w:p w14:paraId="28348AF0" w14:textId="5FBA5301" w:rsidR="7F6DB351" w:rsidRPr="00AF742D" w:rsidRDefault="7F6DB351" w:rsidP="79A36207">
      <w:pPr>
        <w:rPr>
          <w:lang w:val="es-ES"/>
        </w:rPr>
      </w:pPr>
      <w:r w:rsidRPr="79A36207">
        <w:rPr>
          <w:rFonts w:ascii="Arial" w:hAnsi="Arial"/>
          <w:sz w:val="21"/>
          <w:szCs w:val="21"/>
          <w:lang w:val="es-ES"/>
        </w:rPr>
        <w:t xml:space="preserve">La producción ecológica genera aproximadamente un 15% más de empleo por hectárea que la convencional, creando valor añadido y siendo un vector de dinamización del empleo rural. </w:t>
      </w:r>
    </w:p>
    <w:p w14:paraId="4314F6B6" w14:textId="274DF32B" w:rsidR="7F6DB351" w:rsidRDefault="7F6DB351" w:rsidP="79A36207">
      <w:pPr>
        <w:rPr>
          <w:rFonts w:ascii="Arial" w:hAnsi="Arial"/>
          <w:sz w:val="21"/>
          <w:szCs w:val="21"/>
          <w:lang w:val="es-ES"/>
        </w:rPr>
      </w:pPr>
      <w:r w:rsidRPr="79A36207">
        <w:rPr>
          <w:rFonts w:ascii="Arial" w:hAnsi="Arial"/>
          <w:sz w:val="21"/>
          <w:szCs w:val="21"/>
          <w:lang w:val="es-ES"/>
        </w:rPr>
        <w:t xml:space="preserve">La PE tiene una tasa de adopción por jóvenes agricultores significativamente superior a la convencional (12% frente al 4%) cuando existe apoyo público adecuado, con evidencia auditada por el Tribunal de Cuentas Europeo. </w:t>
      </w:r>
    </w:p>
    <w:p w14:paraId="4884197C" w14:textId="0E5D6E19" w:rsidR="00150745" w:rsidRPr="00CA479C" w:rsidRDefault="00CA479C" w:rsidP="79A36207">
      <w:pPr>
        <w:rPr>
          <w:lang w:val="es-ES"/>
        </w:rPr>
      </w:pPr>
      <w:r>
        <w:rPr>
          <w:rFonts w:ascii="Arial" w:hAnsi="Arial"/>
          <w:sz w:val="21"/>
          <w:szCs w:val="21"/>
          <w:lang w:val="es-ES"/>
        </w:rPr>
        <w:t>Ecovalia</w:t>
      </w:r>
      <w:r w:rsidR="00412548" w:rsidRPr="00CA479C">
        <w:rPr>
          <w:rFonts w:ascii="Arial" w:hAnsi="Arial"/>
          <w:sz w:val="21"/>
          <w:szCs w:val="21"/>
          <w:lang w:val="es-ES"/>
        </w:rPr>
        <w:t xml:space="preserve"> plantea una discriminación positiva para los proyectos de </w:t>
      </w:r>
      <w:r>
        <w:rPr>
          <w:rFonts w:ascii="Arial" w:hAnsi="Arial"/>
          <w:sz w:val="21"/>
          <w:szCs w:val="21"/>
          <w:lang w:val="es-ES"/>
        </w:rPr>
        <w:t>p</w:t>
      </w:r>
      <w:r w:rsidR="00412548" w:rsidRPr="00CA479C">
        <w:rPr>
          <w:rFonts w:ascii="Arial" w:hAnsi="Arial"/>
          <w:sz w:val="21"/>
          <w:szCs w:val="21"/>
          <w:lang w:val="es-ES"/>
        </w:rPr>
        <w:t xml:space="preserve">roducción </w:t>
      </w:r>
      <w:r>
        <w:rPr>
          <w:rFonts w:ascii="Arial" w:hAnsi="Arial"/>
          <w:sz w:val="21"/>
          <w:szCs w:val="21"/>
          <w:lang w:val="es-ES"/>
        </w:rPr>
        <w:t>e</w:t>
      </w:r>
      <w:r w:rsidR="00412548" w:rsidRPr="00CA479C">
        <w:rPr>
          <w:rFonts w:ascii="Arial" w:hAnsi="Arial"/>
          <w:sz w:val="21"/>
          <w:szCs w:val="21"/>
          <w:lang w:val="es-ES"/>
        </w:rPr>
        <w:t xml:space="preserve">cológica en la incorporación de jóvenes </w:t>
      </w:r>
      <w:r w:rsidR="00B4221E" w:rsidRPr="00CA479C">
        <w:rPr>
          <w:rFonts w:ascii="Arial" w:hAnsi="Arial"/>
          <w:sz w:val="21"/>
          <w:szCs w:val="21"/>
          <w:lang w:val="es-ES"/>
        </w:rPr>
        <w:t>agricultores como v</w:t>
      </w:r>
      <w:r w:rsidR="00AB0BC0" w:rsidRPr="00CA479C">
        <w:rPr>
          <w:rFonts w:ascii="Arial" w:hAnsi="Arial"/>
          <w:sz w:val="21"/>
          <w:szCs w:val="21"/>
          <w:lang w:val="es-ES"/>
        </w:rPr>
        <w:t>í</w:t>
      </w:r>
      <w:r w:rsidR="00B4221E" w:rsidRPr="00CA479C">
        <w:rPr>
          <w:rFonts w:ascii="Arial" w:hAnsi="Arial"/>
          <w:sz w:val="21"/>
          <w:szCs w:val="21"/>
          <w:lang w:val="es-ES"/>
        </w:rPr>
        <w:t xml:space="preserve">a conjunta de fomento del relevo generacional y de apoyo al sector. </w:t>
      </w:r>
    </w:p>
    <w:p w14:paraId="31CB39A1" w14:textId="738A8EEF" w:rsidR="7F6DB351" w:rsidRPr="00AF742D" w:rsidRDefault="7F6DB351" w:rsidP="79A36207">
      <w:pPr>
        <w:rPr>
          <w:lang w:val="es-ES"/>
        </w:rPr>
      </w:pPr>
      <w:r w:rsidRPr="79A36207">
        <w:rPr>
          <w:rFonts w:ascii="Arial" w:hAnsi="Arial"/>
          <w:sz w:val="21"/>
          <w:szCs w:val="21"/>
          <w:lang w:val="es-ES"/>
        </w:rPr>
        <w:t xml:space="preserve"> </w:t>
      </w:r>
    </w:p>
    <w:p w14:paraId="6E057C1A" w14:textId="2C3AF542" w:rsidR="7F6DB351" w:rsidRDefault="7F6DB351" w:rsidP="79A36207">
      <w:pPr>
        <w:pStyle w:val="ListParagraph"/>
        <w:numPr>
          <w:ilvl w:val="0"/>
          <w:numId w:val="5"/>
        </w:numPr>
        <w:rPr>
          <w:rFonts w:ascii="Arial" w:hAnsi="Arial"/>
          <w:b/>
          <w:bCs/>
          <w:sz w:val="21"/>
          <w:szCs w:val="21"/>
          <w:lang w:val="es-ES"/>
        </w:rPr>
      </w:pPr>
      <w:r w:rsidRPr="79A36207">
        <w:rPr>
          <w:rFonts w:ascii="Arial" w:hAnsi="Arial"/>
          <w:b/>
          <w:bCs/>
          <w:sz w:val="21"/>
          <w:szCs w:val="21"/>
          <w:lang w:val="es-ES"/>
        </w:rPr>
        <w:t xml:space="preserve">Desarrollar la capacidad de resiliencia ante el cambio climático y la volatilidad de mercados </w:t>
      </w:r>
    </w:p>
    <w:p w14:paraId="15AFA344" w14:textId="6E5C7DDB" w:rsidR="7F6DB351" w:rsidRPr="00F30D26" w:rsidRDefault="7F6DB351" w:rsidP="79A36207">
      <w:pPr>
        <w:rPr>
          <w:lang w:val="es-ES"/>
        </w:rPr>
      </w:pPr>
      <w:r w:rsidRPr="79A36207">
        <w:rPr>
          <w:rFonts w:ascii="Arial" w:hAnsi="Arial"/>
          <w:sz w:val="21"/>
          <w:szCs w:val="21"/>
          <w:lang w:val="es-ES"/>
        </w:rPr>
        <w:t>Con el 12,3% de SAU ecológica</w:t>
      </w:r>
      <w:r w:rsidR="000E3AC4">
        <w:rPr>
          <w:rFonts w:ascii="Arial" w:hAnsi="Arial"/>
          <w:sz w:val="21"/>
          <w:szCs w:val="21"/>
          <w:lang w:val="es-ES"/>
        </w:rPr>
        <w:t xml:space="preserve"> </w:t>
      </w:r>
      <w:r w:rsidRPr="79A36207">
        <w:rPr>
          <w:rFonts w:ascii="Arial" w:hAnsi="Arial"/>
          <w:sz w:val="21"/>
          <w:szCs w:val="21"/>
          <w:lang w:val="es-ES"/>
        </w:rPr>
        <w:t xml:space="preserve">se encuentra a casi 8 puntos del objetivo nacional del 20% para 2030. El recorte del 22% en la asignación mínima garantizada para España en la propuesta del MFP post-2027 </w:t>
      </w:r>
      <w:r w:rsidR="00266B76">
        <w:rPr>
          <w:rFonts w:ascii="Arial" w:hAnsi="Arial"/>
          <w:sz w:val="21"/>
          <w:szCs w:val="21"/>
          <w:lang w:val="es-ES"/>
        </w:rPr>
        <w:t xml:space="preserve">supone una </w:t>
      </w:r>
      <w:r w:rsidRPr="00F30D26">
        <w:rPr>
          <w:rFonts w:ascii="Arial" w:hAnsi="Arial"/>
          <w:sz w:val="21"/>
          <w:szCs w:val="21"/>
          <w:lang w:val="es-ES"/>
        </w:rPr>
        <w:t xml:space="preserve">amenaza </w:t>
      </w:r>
      <w:r w:rsidR="006E32B0" w:rsidRPr="00F30D26">
        <w:rPr>
          <w:rFonts w:ascii="Arial" w:hAnsi="Arial"/>
          <w:sz w:val="21"/>
          <w:szCs w:val="21"/>
          <w:lang w:val="es-ES"/>
        </w:rPr>
        <w:t>para</w:t>
      </w:r>
      <w:r w:rsidR="0057173E" w:rsidRPr="00F30D26">
        <w:rPr>
          <w:rFonts w:ascii="Arial" w:hAnsi="Arial"/>
          <w:sz w:val="21"/>
          <w:szCs w:val="21"/>
          <w:lang w:val="es-ES"/>
        </w:rPr>
        <w:t xml:space="preserve"> </w:t>
      </w:r>
      <w:r w:rsidR="006E32B0" w:rsidRPr="00F30D26">
        <w:rPr>
          <w:rFonts w:ascii="Arial" w:hAnsi="Arial"/>
          <w:sz w:val="21"/>
          <w:szCs w:val="21"/>
          <w:lang w:val="es-ES"/>
        </w:rPr>
        <w:t>mantener a</w:t>
      </w:r>
      <w:r w:rsidR="00F30D26" w:rsidRPr="00F30D26">
        <w:rPr>
          <w:rFonts w:ascii="Arial" w:hAnsi="Arial"/>
          <w:sz w:val="21"/>
          <w:szCs w:val="21"/>
          <w:lang w:val="es-ES"/>
        </w:rPr>
        <w:t>l país como líderes de</w:t>
      </w:r>
      <w:r w:rsidR="008E0D02" w:rsidRPr="00F30D26">
        <w:rPr>
          <w:rFonts w:ascii="Arial" w:hAnsi="Arial"/>
          <w:sz w:val="21"/>
          <w:szCs w:val="21"/>
          <w:lang w:val="es-ES"/>
        </w:rPr>
        <w:t xml:space="preserve"> </w:t>
      </w:r>
      <w:r w:rsidR="001C6131" w:rsidRPr="00F30D26">
        <w:rPr>
          <w:rFonts w:ascii="Arial" w:hAnsi="Arial"/>
          <w:sz w:val="21"/>
          <w:szCs w:val="21"/>
          <w:lang w:val="es-ES"/>
        </w:rPr>
        <w:t xml:space="preserve">la producción ecológica europea, y crear un sector con valor ambiental, social y económico. </w:t>
      </w:r>
    </w:p>
    <w:p w14:paraId="286EBA10" w14:textId="69F61BC1" w:rsidR="7F6DB351" w:rsidRPr="00AF742D" w:rsidRDefault="7F6DB351" w:rsidP="79A36207">
      <w:pPr>
        <w:rPr>
          <w:lang w:val="es-ES"/>
        </w:rPr>
      </w:pPr>
      <w:r w:rsidRPr="79A36207">
        <w:rPr>
          <w:rFonts w:ascii="Arial" w:hAnsi="Arial"/>
          <w:sz w:val="21"/>
          <w:szCs w:val="21"/>
          <w:lang w:val="es-ES"/>
        </w:rPr>
        <w:t xml:space="preserve">La PE mediterránea española tiene un potencial cuantificado y científicamente demostrado de mitigación climática (reducción de la huella de C de más del 100% en el caso del olivar y variedades tradicionales de cereal de invierno) que la convierte en un activo estratégico infrafinanciado por la PAC. </w:t>
      </w:r>
    </w:p>
    <w:p w14:paraId="3103B5A0" w14:textId="0E9D4510" w:rsidR="7F6DB351" w:rsidRPr="00A24E39" w:rsidRDefault="7F6DB351" w:rsidP="00A24E39">
      <w:pPr>
        <w:pStyle w:val="ListParagraph"/>
        <w:numPr>
          <w:ilvl w:val="0"/>
          <w:numId w:val="5"/>
        </w:numPr>
        <w:rPr>
          <w:rFonts w:ascii="Arial" w:hAnsi="Arial"/>
          <w:b/>
          <w:bCs/>
          <w:sz w:val="21"/>
          <w:szCs w:val="21"/>
          <w:lang w:val="es-ES"/>
        </w:rPr>
      </w:pPr>
      <w:r w:rsidRPr="00A24E39">
        <w:rPr>
          <w:rFonts w:ascii="Arial" w:hAnsi="Arial"/>
          <w:b/>
          <w:bCs/>
          <w:sz w:val="21"/>
          <w:szCs w:val="21"/>
          <w:lang w:val="es-ES"/>
        </w:rPr>
        <w:t xml:space="preserve">Caminar hacia la simplificación y coherencia normativa </w:t>
      </w:r>
    </w:p>
    <w:p w14:paraId="5CF439B5" w14:textId="713D36A9" w:rsidR="7F6DB351" w:rsidRPr="00AF742D" w:rsidRDefault="7F6DB351" w:rsidP="79A36207">
      <w:pPr>
        <w:rPr>
          <w:lang w:val="es-ES"/>
        </w:rPr>
      </w:pPr>
      <w:r w:rsidRPr="79A36207">
        <w:rPr>
          <w:rFonts w:ascii="Arial" w:hAnsi="Arial"/>
          <w:sz w:val="21"/>
          <w:szCs w:val="21"/>
          <w:lang w:val="es-ES"/>
        </w:rPr>
        <w:t xml:space="preserve">El sector ecológico ya dispone del sistema de verificación y trazabilidad más robusto de la agricultura europea. Su integración en el sistema PAC permitiría una reducción de la carga administrativa.  </w:t>
      </w:r>
    </w:p>
    <w:p w14:paraId="630EA72B" w14:textId="0D3CA794" w:rsidR="7F6DB351" w:rsidRPr="00AF742D" w:rsidRDefault="7F6DB351" w:rsidP="79A36207">
      <w:pPr>
        <w:rPr>
          <w:lang w:val="es-ES"/>
        </w:rPr>
      </w:pPr>
      <w:r w:rsidRPr="79A36207">
        <w:rPr>
          <w:rFonts w:ascii="Arial" w:hAnsi="Arial"/>
          <w:sz w:val="21"/>
          <w:szCs w:val="21"/>
          <w:lang w:val="es-ES"/>
        </w:rPr>
        <w:t xml:space="preserve">El Acuerdo de Simplificación PAC 2025, reconoce a los operadores ecológicos como “verdes por definición”, por lo que el futuro Plan Nacional español debe traducir ese principio en una reducción de carga administrativa real10.  </w:t>
      </w:r>
    </w:p>
    <w:p w14:paraId="22922598" w14:textId="77777777" w:rsidR="1C5404B1" w:rsidRDefault="1C5404B1" w:rsidP="0874C4A6">
      <w:pPr>
        <w:spacing w:after="80"/>
        <w:rPr>
          <w:lang w:val="es-ES"/>
        </w:rPr>
      </w:pPr>
      <w:r w:rsidRPr="0874C4A6">
        <w:rPr>
          <w:rFonts w:ascii="Arial" w:hAnsi="Arial"/>
          <w:i/>
          <w:iCs/>
          <w:color w:val="276749"/>
          <w:sz w:val="20"/>
          <w:szCs w:val="20"/>
          <w:lang w:val="es-ES"/>
        </w:rPr>
        <w:t>"No podemos dar ni un solo paso atrás en la consolidación del liderazgo de España en este sector. Para mantener el sistema productivo actual y garantizar la viabilidad económica de nuestras fincas, se requiere y exige una dotación presupuestaria suficiente. Instamos a la Comisión Europea a exigir formalmente a los Estados miembros la protección de estos fondos ecológicos."</w:t>
      </w:r>
    </w:p>
    <w:p w14:paraId="0743438C" w14:textId="77777777" w:rsidR="1C5404B1" w:rsidRPr="00AF742D" w:rsidRDefault="1C5404B1" w:rsidP="0874C4A6">
      <w:pPr>
        <w:spacing w:after="0"/>
        <w:jc w:val="right"/>
        <w:rPr>
          <w:lang w:val="es-ES"/>
        </w:rPr>
      </w:pPr>
      <w:r w:rsidRPr="00AF742D">
        <w:rPr>
          <w:rFonts w:ascii="Arial" w:hAnsi="Arial"/>
          <w:b/>
          <w:color w:val="2D3748"/>
          <w:sz w:val="17"/>
          <w:szCs w:val="17"/>
          <w:lang w:val="es-ES"/>
        </w:rPr>
        <w:t>Diego Granado — Secretario General de Ecovalia</w:t>
      </w:r>
    </w:p>
    <w:p w14:paraId="51DE8057" w14:textId="77777777" w:rsidR="0874C4A6" w:rsidRPr="00AF742D" w:rsidRDefault="0874C4A6" w:rsidP="0874C4A6">
      <w:pPr>
        <w:spacing w:after="120"/>
        <w:rPr>
          <w:lang w:val="es-ES"/>
        </w:rPr>
      </w:pPr>
    </w:p>
    <w:p w14:paraId="559E78A6" w14:textId="22F1B131" w:rsidR="14DAE99E" w:rsidRDefault="14DAE99E" w:rsidP="79A36207">
      <w:pPr>
        <w:rPr>
          <w:lang w:val="es-ES"/>
        </w:rPr>
      </w:pPr>
      <w:r w:rsidRPr="79A36207">
        <w:rPr>
          <w:rFonts w:ascii="Arial" w:hAnsi="Arial"/>
          <w:sz w:val="21"/>
          <w:szCs w:val="21"/>
          <w:lang w:val="es-ES"/>
        </w:rPr>
        <w:t>Desde la asociación se pone de relieve la desconexión existente en informes oficiales comunitarios como 'Generational change in agriculture', el cual obvia sistemáticamente los datos específicos del sector ecológico. Invisibilizar que este modelo es el principal polo de atracción de talento demográfico impide un reparto equitativo, eficiente y justo de las ayudas de la PAC destinadas a la juventud agraria.</w:t>
      </w:r>
    </w:p>
    <w:p w14:paraId="0382F9A0" w14:textId="13A6603B" w:rsidR="0874C4A6" w:rsidRDefault="0874C4A6" w:rsidP="0874C4A6">
      <w:pPr>
        <w:spacing w:after="120"/>
        <w:rPr>
          <w:color w:val="808080" w:themeColor="background1" w:themeShade="80"/>
          <w:sz w:val="20"/>
          <w:szCs w:val="20"/>
          <w:lang w:val="es-ES"/>
        </w:rPr>
      </w:pPr>
    </w:p>
    <w:p w14:paraId="667EEAD8" w14:textId="019A4763" w:rsidR="00304852" w:rsidRPr="00B2127F" w:rsidRDefault="333BC399" w:rsidP="0874C4A6">
      <w:pPr>
        <w:keepNext/>
        <w:pBdr>
          <w:left w:val="single" w:sz="24" w:space="8" w:color="38A169"/>
        </w:pBdr>
        <w:spacing w:before="440"/>
        <w:rPr>
          <w:lang w:val="es-ES"/>
        </w:rPr>
      </w:pPr>
      <w:r w:rsidRPr="0874C4A6">
        <w:rPr>
          <w:rFonts w:ascii="Arial" w:hAnsi="Arial"/>
          <w:b/>
          <w:bCs/>
          <w:color w:val="2F855A"/>
          <w:sz w:val="28"/>
          <w:szCs w:val="28"/>
          <w:lang w:val="es-ES"/>
        </w:rPr>
        <w:t>2</w:t>
      </w:r>
      <w:r w:rsidR="00844892" w:rsidRPr="0874C4A6">
        <w:rPr>
          <w:rFonts w:ascii="Arial" w:hAnsi="Arial"/>
          <w:b/>
          <w:bCs/>
          <w:color w:val="2F855A"/>
          <w:sz w:val="28"/>
          <w:szCs w:val="28"/>
          <w:lang w:val="es-ES"/>
        </w:rPr>
        <w:t>. Oportunidad Estratégica ante la Crisis de Insumos y Fertilizantes Sintéticos</w:t>
      </w:r>
    </w:p>
    <w:p w14:paraId="2E045AD4" w14:textId="77777777" w:rsidR="00304852" w:rsidRPr="00B2127F" w:rsidRDefault="00844892" w:rsidP="000F2688">
      <w:pPr>
        <w:rPr>
          <w:lang w:val="es-ES"/>
        </w:rPr>
      </w:pPr>
      <w:r w:rsidRPr="35D967B6">
        <w:rPr>
          <w:rFonts w:ascii="Arial" w:hAnsi="Arial"/>
          <w:sz w:val="21"/>
          <w:szCs w:val="21"/>
          <w:lang w:val="es-ES"/>
        </w:rPr>
        <w:t>La actual coyuntura geopolítica internacional, marcada por la inestabilidad en Oriente Medio y las restricciones logísticas en puntos críticos como el estrecho de Ormuz, ha evidenciado la profunda vulnerabilidad de los sistemas agrarios industriales y convencionales. La escalada descontrolada en los precios internacionales del petróleo impacta directamente sobre el coste de fabricación de los abonos químicos y fitosanitarios sintéticos, estrangulando los márgenes de rentabilidad del campo convencional.</w:t>
      </w:r>
    </w:p>
    <w:p w14:paraId="781D423E" w14:textId="77777777" w:rsidR="00304852" w:rsidRPr="00B2127F" w:rsidRDefault="00844892" w:rsidP="000F2688">
      <w:pPr>
        <w:rPr>
          <w:lang w:val="es-ES"/>
        </w:rPr>
      </w:pPr>
      <w:r w:rsidRPr="35D967B6">
        <w:rPr>
          <w:rFonts w:ascii="Arial" w:hAnsi="Arial"/>
          <w:sz w:val="21"/>
          <w:szCs w:val="21"/>
          <w:lang w:val="es-ES"/>
        </w:rPr>
        <w:t>Frente a este desafío, la producción ecológica se erige como un modelo maduro, altamente resiliente y profundamente optimista. Al prohibir el uso de productos de síntesis química y basar su modelo productivo en la salud del suelo, el aprovechamiento integral de subproductos orgánicos y el respeto estricto a los ciclos de los ecosistemas, la agricultura ecológica blinda a los agricultores de los shocks externos de suministro, ofreciendo una soberanía productiva real.</w:t>
      </w:r>
    </w:p>
    <w:tbl>
      <w:tblPr>
        <w:tblW w:w="0" w:type="auto"/>
        <w:jc w:val="center"/>
        <w:tblLayout w:type="fixed"/>
        <w:tblLook w:val="04A0" w:firstRow="1" w:lastRow="0" w:firstColumn="1" w:lastColumn="0" w:noHBand="0" w:noVBand="1"/>
      </w:tblPr>
      <w:tblGrid>
        <w:gridCol w:w="9029"/>
      </w:tblGrid>
      <w:tr w:rsidR="00304852" w14:paraId="7B4DB035" w14:textId="77777777">
        <w:trPr>
          <w:jc w:val="center"/>
        </w:trPr>
        <w:tc>
          <w:tcPr>
            <w:tcW w:w="9029" w:type="dxa"/>
            <w:tcBorders>
              <w:left w:val="single" w:sz="24" w:space="0" w:color="38A169"/>
            </w:tcBorders>
            <w:shd w:val="clear" w:color="auto" w:fill="F0FFF4"/>
            <w:tcMar>
              <w:top w:w="140" w:type="dxa"/>
              <w:left w:w="200" w:type="dxa"/>
              <w:bottom w:w="140" w:type="dxa"/>
              <w:right w:w="200" w:type="dxa"/>
            </w:tcMar>
          </w:tcPr>
          <w:p w14:paraId="15832C74" w14:textId="77777777" w:rsidR="00304852" w:rsidRPr="00B2127F" w:rsidRDefault="00844892">
            <w:pPr>
              <w:spacing w:after="80"/>
              <w:rPr>
                <w:lang w:val="es-ES"/>
              </w:rPr>
            </w:pPr>
            <w:r w:rsidRPr="00B2127F">
              <w:rPr>
                <w:rFonts w:ascii="Arial" w:hAnsi="Arial"/>
                <w:i/>
                <w:color w:val="276749"/>
                <w:sz w:val="20"/>
                <w:lang w:val="es-ES"/>
              </w:rPr>
              <w:t>"La flexibilización de la Directiva sobre nitratos que sugieren algunos sectores tradicionales, lejos de solventar el problema de fondo, perpetúa una dependencia del petróleo y del gas extranjero altamente inestable. El Plan de Acción sobre Fertilizantes de la Comisión Europea reconoce formalmente la fortaleza estratégica del sector orgánico. Alcanzar la meta del 25% de superficie en ecológico retiraría de la circulación inmediata 2,7 millones de toneladas de fertilizantes sintéticos nitrogenados, ahorrando un 26% del consumo total europeo."</w:t>
            </w:r>
          </w:p>
          <w:p w14:paraId="644D0F37" w14:textId="77777777" w:rsidR="00304852" w:rsidRPr="00AF742D" w:rsidRDefault="00844892">
            <w:pPr>
              <w:spacing w:after="0"/>
              <w:jc w:val="right"/>
              <w:rPr>
                <w:lang w:val="es-ES"/>
              </w:rPr>
            </w:pPr>
            <w:r w:rsidRPr="00AF742D">
              <w:rPr>
                <w:rFonts w:ascii="Arial" w:hAnsi="Arial"/>
                <w:b/>
                <w:color w:val="2D3748"/>
                <w:sz w:val="17"/>
                <w:lang w:val="es-ES"/>
              </w:rPr>
              <w:t>Álvaro Barrera — Presidente de Ecovalia</w:t>
            </w:r>
          </w:p>
        </w:tc>
      </w:tr>
    </w:tbl>
    <w:p w14:paraId="6E6DCB6D" w14:textId="77777777" w:rsidR="00304852" w:rsidRPr="00AF742D" w:rsidRDefault="00304852">
      <w:pPr>
        <w:spacing w:after="120"/>
        <w:rPr>
          <w:lang w:val="es-ES"/>
        </w:rPr>
      </w:pPr>
    </w:p>
    <w:p w14:paraId="0521FD47" w14:textId="77777777" w:rsidR="00304852" w:rsidRDefault="00844892" w:rsidP="000F2688">
      <w:pPr>
        <w:rPr>
          <w:rFonts w:ascii="Arial" w:hAnsi="Arial"/>
          <w:sz w:val="21"/>
          <w:szCs w:val="21"/>
          <w:lang w:val="es-ES"/>
        </w:rPr>
      </w:pPr>
      <w:r w:rsidRPr="0874C4A6">
        <w:rPr>
          <w:rFonts w:ascii="Arial" w:hAnsi="Arial"/>
          <w:sz w:val="21"/>
          <w:szCs w:val="21"/>
          <w:lang w:val="es-ES"/>
        </w:rPr>
        <w:t>De no mediar un soporte institucional decidido que fomente esta transición hacia la fertilidad natural, el sector convencional se verá obligado a demandar de forma desordenada abonos orgánicos y estiércoles. Esto generaría una competencia desleal, saturando el mercado y distorsionando el precio de los insumos naturales en perjuicio de los productores que llevan décadas apostando por el modelo verde.</w:t>
      </w:r>
    </w:p>
    <w:p w14:paraId="0DE59F51" w14:textId="77777777" w:rsidR="005A67F1" w:rsidRPr="00B2127F" w:rsidRDefault="005A67F1" w:rsidP="000F2688">
      <w:pPr>
        <w:rPr>
          <w:lang w:val="es-ES"/>
        </w:rPr>
      </w:pPr>
    </w:p>
    <w:p w14:paraId="2C6F4D72" w14:textId="1D11574A" w:rsidR="00304852" w:rsidRPr="00B2127F" w:rsidRDefault="39BDD661" w:rsidP="79A36207">
      <w:pPr>
        <w:keepNext/>
        <w:pBdr>
          <w:left w:val="single" w:sz="24" w:space="8" w:color="38A169"/>
        </w:pBdr>
        <w:spacing w:before="440"/>
        <w:rPr>
          <w:lang w:val="es-ES"/>
        </w:rPr>
      </w:pPr>
      <w:r w:rsidRPr="79A36207">
        <w:rPr>
          <w:rFonts w:ascii="Arial" w:hAnsi="Arial"/>
          <w:b/>
          <w:bCs/>
          <w:color w:val="2F855A"/>
          <w:sz w:val="28"/>
          <w:szCs w:val="28"/>
          <w:lang w:val="es-ES"/>
        </w:rPr>
        <w:t xml:space="preserve">3. Crecimiento Imparable del Consumo y Liderazgo de Superficie </w:t>
      </w:r>
    </w:p>
    <w:p w14:paraId="44FACA35" w14:textId="77777777" w:rsidR="00304852" w:rsidRPr="00B2127F" w:rsidRDefault="00844892" w:rsidP="000F2688">
      <w:pPr>
        <w:rPr>
          <w:lang w:val="es-ES"/>
        </w:rPr>
      </w:pPr>
      <w:r w:rsidRPr="4902828D">
        <w:rPr>
          <w:rFonts w:ascii="Arial" w:hAnsi="Arial"/>
          <w:sz w:val="21"/>
          <w:szCs w:val="21"/>
          <w:lang w:val="es-ES"/>
        </w:rPr>
        <w:t>Los datos presentados formalmente en la feria Alimentaria 2026 a través del Informe Anual ‘Datos de producción y consumo ecológico en España’ demuestran que la alimentación ecológica se ha transformado en una opción prioritaria y cotidiana en la sociedad. El consumo ecológico ya forma parte de la vida del 66% de los hogares españoles (dos de cada tres), respaldado por un consumidor consciente que antepone la salud, la seguridad alimentaria y el bienestar animal ante cualquier otra variable.</w:t>
      </w:r>
    </w:p>
    <w:p w14:paraId="642C2B25" w14:textId="77777777" w:rsidR="00304852" w:rsidRPr="00B2127F" w:rsidRDefault="00844892" w:rsidP="000F2688">
      <w:pPr>
        <w:keepNext/>
        <w:spacing w:before="280" w:after="120"/>
        <w:rPr>
          <w:lang w:val="es-ES"/>
        </w:rPr>
      </w:pPr>
      <w:r w:rsidRPr="4AC70A47">
        <w:rPr>
          <w:rFonts w:ascii="Arial" w:hAnsi="Arial"/>
          <w:b/>
          <w:sz w:val="23"/>
          <w:szCs w:val="23"/>
          <w:lang w:val="es-ES"/>
        </w:rPr>
        <w:t>Métricas Clave de la Estructura Productiva y Comercial:</w:t>
      </w:r>
    </w:p>
    <w:p w14:paraId="0D8006C2" w14:textId="77777777" w:rsidR="00304852" w:rsidRPr="00B2127F" w:rsidRDefault="00844892" w:rsidP="000F2688">
      <w:pPr>
        <w:pStyle w:val="ListBullet"/>
        <w:spacing w:after="120"/>
        <w:rPr>
          <w:lang w:val="es-ES"/>
        </w:rPr>
      </w:pPr>
      <w:r w:rsidRPr="4AC70A47">
        <w:rPr>
          <w:rFonts w:ascii="Arial" w:hAnsi="Arial"/>
          <w:b/>
          <w:sz w:val="21"/>
          <w:szCs w:val="21"/>
          <w:lang w:val="es-ES"/>
        </w:rPr>
        <w:t xml:space="preserve">Liderazgo en Superficie: </w:t>
      </w:r>
      <w:r w:rsidRPr="4AC70A47">
        <w:rPr>
          <w:rFonts w:ascii="Arial" w:hAnsi="Arial"/>
          <w:sz w:val="21"/>
          <w:szCs w:val="21"/>
          <w:lang w:val="es-ES"/>
        </w:rPr>
        <w:t>España supera por primera vez los 3 millones de hectáreas certificadas en ecológico, alcanzando una cuota del 12,3% de la Superficie Agraria Útil (SAU) nacional, consolidándose en el primer puesto de la Unión Europea.</w:t>
      </w:r>
    </w:p>
    <w:p w14:paraId="038FEB90" w14:textId="77777777" w:rsidR="00304852" w:rsidRPr="00B2127F" w:rsidRDefault="00844892" w:rsidP="000F2688">
      <w:pPr>
        <w:pStyle w:val="ListBullet"/>
        <w:spacing w:after="120"/>
        <w:rPr>
          <w:lang w:val="es-ES"/>
        </w:rPr>
      </w:pPr>
      <w:r w:rsidRPr="4AC70A47">
        <w:rPr>
          <w:rFonts w:ascii="Arial" w:hAnsi="Arial"/>
          <w:b/>
          <w:sz w:val="21"/>
          <w:szCs w:val="21"/>
          <w:lang w:val="es-ES"/>
        </w:rPr>
        <w:t xml:space="preserve">Distribución Territorial: </w:t>
      </w:r>
      <w:r w:rsidRPr="4AC70A47">
        <w:rPr>
          <w:rFonts w:ascii="Arial" w:hAnsi="Arial"/>
          <w:sz w:val="21"/>
          <w:szCs w:val="21"/>
          <w:lang w:val="es-ES"/>
        </w:rPr>
        <w:t>El arco mediterráneo actúa como el gran dinamizador del país. Andalucía y la Región de Murcia lideran concentrando más del 30% de su SAU bajo certificación ecológica, seguidas estrechamente por Cataluña y las Islas Baleares (23%), y por Navarra, Castilla-La Mancha y la Comunidad Valenciana (que oscilan entre el 12% y el 13%).</w:t>
      </w:r>
    </w:p>
    <w:p w14:paraId="434CB7CC" w14:textId="77777777" w:rsidR="00304852" w:rsidRPr="00B2127F" w:rsidRDefault="00844892" w:rsidP="000F2688">
      <w:pPr>
        <w:pStyle w:val="ListBullet"/>
        <w:spacing w:after="120"/>
        <w:rPr>
          <w:lang w:val="es-ES"/>
        </w:rPr>
      </w:pPr>
      <w:r w:rsidRPr="4AC70A47">
        <w:rPr>
          <w:rFonts w:ascii="Arial" w:hAnsi="Arial"/>
          <w:b/>
          <w:sz w:val="21"/>
          <w:szCs w:val="21"/>
          <w:lang w:val="es-ES"/>
        </w:rPr>
        <w:t xml:space="preserve">Especialización de Cultivos: </w:t>
      </w:r>
      <w:r w:rsidRPr="4AC70A47">
        <w:rPr>
          <w:rFonts w:ascii="Arial" w:hAnsi="Arial"/>
          <w:sz w:val="21"/>
          <w:szCs w:val="21"/>
          <w:lang w:val="es-ES"/>
        </w:rPr>
        <w:t>Los frutos secos (30%), el olivar (10%) y los cereales (5%) configuran los pilares de las zonas de cultivo mediterráneas, complementados por un volumen consolidado de hortalizas (13%) y frutales o fresas (4%).</w:t>
      </w:r>
    </w:p>
    <w:p w14:paraId="7133E7B2" w14:textId="77777777" w:rsidR="00304852" w:rsidRPr="00B2127F" w:rsidRDefault="00844892" w:rsidP="000F2688">
      <w:pPr>
        <w:pStyle w:val="ListBullet"/>
        <w:spacing w:after="120"/>
        <w:rPr>
          <w:lang w:val="es-ES"/>
        </w:rPr>
      </w:pPr>
      <w:r w:rsidRPr="4AC70A47">
        <w:rPr>
          <w:rFonts w:ascii="Arial" w:hAnsi="Arial"/>
          <w:b/>
          <w:sz w:val="21"/>
          <w:szCs w:val="21"/>
          <w:lang w:val="es-ES"/>
        </w:rPr>
        <w:t xml:space="preserve">Volumen de Mercado: </w:t>
      </w:r>
      <w:r w:rsidRPr="4AC70A47">
        <w:rPr>
          <w:rFonts w:ascii="Arial" w:hAnsi="Arial"/>
          <w:sz w:val="21"/>
          <w:szCs w:val="21"/>
          <w:lang w:val="es-ES"/>
        </w:rPr>
        <w:t>El valor total de mercado interno escala de forma sólida hasta los 3.250 millones de euros, mostrando una decidida recuperación del consumo en los hogares con un incremento del 7,5% interanual. El gasto medio per cápita español se sitúa en 66 euros, despuntando de forma sobresaliente comunidades autónomas como Cantabria, donde los consumidores registran un gasto récord de 115 euros por habitante al año.</w:t>
      </w:r>
    </w:p>
    <w:p w14:paraId="6F4C88A7" w14:textId="77777777" w:rsidR="00304852" w:rsidRPr="00897807" w:rsidRDefault="00844892" w:rsidP="000F2688">
      <w:pPr>
        <w:pStyle w:val="ListBullet"/>
        <w:spacing w:after="120"/>
        <w:rPr>
          <w:rFonts w:ascii="Arial" w:hAnsi="Arial"/>
          <w:sz w:val="21"/>
          <w:szCs w:val="21"/>
          <w:lang w:val="es-ES"/>
        </w:rPr>
      </w:pPr>
      <w:r w:rsidRPr="4AC70A47">
        <w:rPr>
          <w:rFonts w:ascii="Arial" w:hAnsi="Arial"/>
          <w:b/>
          <w:sz w:val="21"/>
          <w:szCs w:val="21"/>
          <w:lang w:val="es-ES"/>
        </w:rPr>
        <w:t xml:space="preserve">Perfil del Consumidor: </w:t>
      </w:r>
      <w:r w:rsidRPr="4AC70A47">
        <w:rPr>
          <w:rFonts w:ascii="Arial" w:hAnsi="Arial"/>
          <w:sz w:val="21"/>
          <w:szCs w:val="21"/>
          <w:lang w:val="es-ES"/>
        </w:rPr>
        <w:t>El 70% del gasto total proviene del segmento senior (mayores de 50 años), focalizado en parejas de renta media-alta y jubilados. Buscan el sello oficial de la Eurohoja como factor determinante de trazabilidad. De hecho, aunque los alimentos vegetales aportan el 67,7% en volumen, los productos ganaderos y de origen animal concentran el 51,4% del presupuesto económico debido a la exigencia de máximas garantías.</w:t>
      </w:r>
    </w:p>
    <w:p w14:paraId="1D513B7B" w14:textId="77777777" w:rsidR="00897807" w:rsidRDefault="00897807" w:rsidP="0062165F">
      <w:pPr>
        <w:pStyle w:val="ListBullet"/>
        <w:numPr>
          <w:ilvl w:val="0"/>
          <w:numId w:val="0"/>
        </w:numPr>
        <w:spacing w:after="120"/>
        <w:rPr>
          <w:rFonts w:ascii="Arial" w:hAnsi="Arial"/>
          <w:sz w:val="21"/>
          <w:szCs w:val="21"/>
          <w:lang w:val="es-ES"/>
        </w:rPr>
      </w:pPr>
    </w:p>
    <w:p w14:paraId="66236B92" w14:textId="627E93C9" w:rsidR="00304852" w:rsidRPr="00B2127F" w:rsidRDefault="00844892" w:rsidP="0874C4A6">
      <w:pPr>
        <w:keepNext/>
        <w:pBdr>
          <w:left w:val="single" w:sz="24" w:space="8" w:color="38A169"/>
        </w:pBdr>
        <w:spacing w:before="440"/>
        <w:rPr>
          <w:lang w:val="es-ES"/>
        </w:rPr>
      </w:pPr>
      <w:r w:rsidRPr="0874C4A6">
        <w:rPr>
          <w:rFonts w:ascii="Arial" w:hAnsi="Arial"/>
          <w:b/>
          <w:bCs/>
          <w:color w:val="2F855A"/>
          <w:sz w:val="28"/>
          <w:szCs w:val="28"/>
          <w:lang w:val="es-ES"/>
        </w:rPr>
        <w:t>4. Motor de Empleo Verde y Atracción del Relevo Generacional</w:t>
      </w:r>
    </w:p>
    <w:p w14:paraId="77E2B872" w14:textId="77777777" w:rsidR="00304852" w:rsidRPr="00B2127F" w:rsidRDefault="00844892" w:rsidP="000F2688">
      <w:pPr>
        <w:rPr>
          <w:lang w:val="es-ES"/>
        </w:rPr>
      </w:pPr>
      <w:r w:rsidRPr="38C3B1F3">
        <w:rPr>
          <w:rFonts w:ascii="Arial" w:hAnsi="Arial"/>
          <w:sz w:val="21"/>
          <w:szCs w:val="21"/>
          <w:lang w:val="es-ES"/>
        </w:rPr>
        <w:t>Frente al severo problema del envejecimiento del agro convencional en España, donde la edad media de los titulares de las explotaciones alcanza los 61,4 años, el ecosistema de la producción ecológica emerge como el principal dinamizador demográfico y polo de empleo del medio rural. El tejido empresarial especializado ha experimentado una expansión del 25% en los últimos cinco años, sosteniendo de forma directa un volumen de 122.100 puestos de trabajo de alta estabilidad (un 4,9% más respecto al año anterior).</w:t>
      </w:r>
    </w:p>
    <w:p w14:paraId="4FCAE9A5" w14:textId="77777777" w:rsidR="00304852" w:rsidRPr="00B2127F" w:rsidRDefault="00844892" w:rsidP="000F2688">
      <w:pPr>
        <w:rPr>
          <w:lang w:val="es-ES"/>
        </w:rPr>
      </w:pPr>
      <w:r w:rsidRPr="38C3B1F3">
        <w:rPr>
          <w:rFonts w:ascii="Arial" w:hAnsi="Arial"/>
          <w:sz w:val="21"/>
          <w:szCs w:val="21"/>
          <w:lang w:val="es-ES"/>
        </w:rPr>
        <w:t>El Diagnóstico de la Juventud Agraria elaborado por el Ministerio de Agricultura, Pesca y Alimentación (MAPA) confirma esta tendencia favorable: el 39,3% de los titulares jóvenes opta de manera preferente por sistemas de calidad diferenciada. Dentro de este grupo, uno de cada dos jóvenes agricultores decide enfocar su explotación de forma inequívoca en la producción ecológica, motivado por su sostenibilidad inherente, su menor necesidad de inversiones iniciales en inputs químicos y el óptimo aprovechamiento de los recursos locales de su entorno.</w:t>
      </w:r>
    </w:p>
    <w:p w14:paraId="2359F8EC" w14:textId="7489FB02" w:rsidR="004D40D9" w:rsidRDefault="39BDD661" w:rsidP="79A36207">
      <w:pPr>
        <w:rPr>
          <w:rFonts w:ascii="Arial" w:hAnsi="Arial"/>
          <w:sz w:val="21"/>
          <w:szCs w:val="21"/>
          <w:lang w:val="es-ES"/>
        </w:rPr>
      </w:pPr>
      <w:r w:rsidRPr="79A36207">
        <w:rPr>
          <w:rFonts w:ascii="Arial" w:hAnsi="Arial"/>
          <w:sz w:val="21"/>
          <w:szCs w:val="21"/>
          <w:lang w:val="es-ES"/>
        </w:rPr>
        <w:t xml:space="preserve">Este rejuvenecimiento del campo español viene fuertemente abanderado por las mujeres jóvenes, quienes lideran la incorporación de profesionales representando el 53,8% del total del nuevo empleo </w:t>
      </w:r>
      <w:r w:rsidR="38532686" w:rsidRPr="79A36207">
        <w:rPr>
          <w:rFonts w:ascii="Arial" w:hAnsi="Arial"/>
          <w:sz w:val="21"/>
          <w:szCs w:val="21"/>
          <w:lang w:val="es-ES"/>
        </w:rPr>
        <w:t xml:space="preserve">joven </w:t>
      </w:r>
      <w:r w:rsidRPr="79A36207">
        <w:rPr>
          <w:rFonts w:ascii="Arial" w:hAnsi="Arial"/>
          <w:sz w:val="21"/>
          <w:szCs w:val="21"/>
          <w:lang w:val="es-ES"/>
        </w:rPr>
        <w:t xml:space="preserve">en el sector. </w:t>
      </w:r>
      <w:r w:rsidR="3A9F5DFE" w:rsidRPr="79A36207">
        <w:rPr>
          <w:rFonts w:ascii="Arial" w:hAnsi="Arial"/>
          <w:sz w:val="21"/>
          <w:szCs w:val="21"/>
          <w:lang w:val="es-ES"/>
        </w:rPr>
        <w:t>Además, a</w:t>
      </w:r>
      <w:r w:rsidRPr="79A36207">
        <w:rPr>
          <w:rFonts w:ascii="Arial" w:hAnsi="Arial"/>
          <w:sz w:val="21"/>
          <w:szCs w:val="21"/>
          <w:lang w:val="es-ES"/>
        </w:rPr>
        <w:t>ctualmente, las mujeres ostentan ya de forma efectiva la titularidad del 32% de todas las explotaciones e industrias ecológicas registradas en España, afianzándose como líderes indiscutibles de la innovación, el arraigo rural y la transición verde de nuestra economía.</w:t>
      </w:r>
    </w:p>
    <w:p w14:paraId="11F1F592" w14:textId="17510463" w:rsidR="00D1551C" w:rsidRPr="00E805D2" w:rsidRDefault="00D1551C" w:rsidP="79A36207">
      <w:pPr>
        <w:rPr>
          <w:rFonts w:ascii="Arial" w:hAnsi="Arial"/>
          <w:b/>
          <w:bCs/>
          <w:sz w:val="21"/>
          <w:szCs w:val="21"/>
          <w:lang w:val="es-ES"/>
        </w:rPr>
      </w:pPr>
      <w:r w:rsidRPr="00E805D2">
        <w:rPr>
          <w:rFonts w:ascii="Arial" w:hAnsi="Arial"/>
          <w:b/>
          <w:bCs/>
          <w:sz w:val="21"/>
          <w:szCs w:val="21"/>
          <w:lang w:val="es-ES"/>
        </w:rPr>
        <w:t xml:space="preserve">Innovación como motor </w:t>
      </w:r>
      <w:r w:rsidR="00E805D2" w:rsidRPr="00E805D2">
        <w:rPr>
          <w:rFonts w:ascii="Arial" w:hAnsi="Arial"/>
          <w:b/>
          <w:bCs/>
          <w:sz w:val="21"/>
          <w:szCs w:val="21"/>
          <w:lang w:val="es-ES"/>
        </w:rPr>
        <w:t>de conocimiento e impulso de la producción ecológica</w:t>
      </w:r>
    </w:p>
    <w:p w14:paraId="16B8C143" w14:textId="06C6AF83" w:rsidR="005A67F1" w:rsidRPr="004D40D9" w:rsidRDefault="00D1551C" w:rsidP="79A36207">
      <w:pPr>
        <w:rPr>
          <w:rFonts w:ascii="Arial" w:hAnsi="Arial"/>
          <w:sz w:val="21"/>
          <w:szCs w:val="21"/>
          <w:lang w:val="es-ES"/>
        </w:rPr>
      </w:pPr>
      <w:r w:rsidRPr="00D1551C">
        <w:rPr>
          <w:rFonts w:ascii="Arial" w:hAnsi="Arial"/>
          <w:sz w:val="21"/>
          <w:szCs w:val="21"/>
          <w:lang w:val="es-ES"/>
        </w:rPr>
        <w:t>La innovación se ha convertido en uno de los pilares fundamentales de la producción ecológica, combinando el conocimiento tradicional con nuevas tecnologías orientadas a la sostenibilidad. La incorporación de herramientas de digitalización, agricultura de precisión, sensores, gestión inteligente del suelo y proyectos de investigación</w:t>
      </w:r>
      <w:r w:rsidR="00E805D2">
        <w:rPr>
          <w:rFonts w:ascii="Arial" w:hAnsi="Arial"/>
          <w:sz w:val="21"/>
          <w:szCs w:val="21"/>
          <w:lang w:val="es-ES"/>
        </w:rPr>
        <w:t xml:space="preserve">, en lo que participa </w:t>
      </w:r>
      <w:r w:rsidRPr="00D1551C">
        <w:rPr>
          <w:rFonts w:ascii="Arial" w:hAnsi="Arial"/>
          <w:sz w:val="21"/>
          <w:szCs w:val="21"/>
          <w:lang w:val="es-ES"/>
        </w:rPr>
        <w:t>Ecovalia</w:t>
      </w:r>
      <w:r w:rsidR="00E805D2">
        <w:rPr>
          <w:rFonts w:ascii="Arial" w:hAnsi="Arial"/>
          <w:sz w:val="21"/>
          <w:szCs w:val="21"/>
          <w:lang w:val="es-ES"/>
        </w:rPr>
        <w:t>,</w:t>
      </w:r>
      <w:r w:rsidRPr="00D1551C">
        <w:rPr>
          <w:rFonts w:ascii="Arial" w:hAnsi="Arial"/>
          <w:sz w:val="21"/>
          <w:szCs w:val="21"/>
          <w:lang w:val="es-ES"/>
        </w:rPr>
        <w:t xml:space="preserve"> permite mejorar la eficiencia de las explotaciones, reducir la dependencia de insumos externos y aumentar la resiliencia frente al cambio climático. Además, la recuperación de variedades tradicionales, el fomento de la biodiversidad y el desarrollo de soluciones tecnológicas adaptadas a los sistemas ecológicos demuestran que la innovación en este sector no solo busca incrementar la productividad, sino también generar un modelo agrario más sostenible, competitivo y respetuoso con el medio ambiente.</w:t>
      </w:r>
    </w:p>
    <w:p w14:paraId="0681FEC0" w14:textId="40D9F334" w:rsidR="7F727271" w:rsidRDefault="7F727271" w:rsidP="79A36207">
      <w:pPr>
        <w:keepNext/>
        <w:pBdr>
          <w:left w:val="single" w:sz="24" w:space="8" w:color="38A169"/>
        </w:pBdr>
        <w:spacing w:before="440"/>
        <w:rPr>
          <w:lang w:val="es-ES"/>
        </w:rPr>
      </w:pPr>
      <w:r w:rsidRPr="79A36207">
        <w:rPr>
          <w:rFonts w:ascii="Arial" w:hAnsi="Arial"/>
          <w:b/>
          <w:bCs/>
          <w:color w:val="2F855A"/>
          <w:sz w:val="28"/>
          <w:szCs w:val="28"/>
          <w:lang w:val="es-ES"/>
        </w:rPr>
        <w:t>5. Nuevas directrices nuevas directrices para la PAC 2028-2034</w:t>
      </w:r>
      <w:r w:rsidR="533D1C91" w:rsidRPr="79A36207">
        <w:rPr>
          <w:rFonts w:ascii="Arial" w:hAnsi="Arial"/>
          <w:b/>
          <w:bCs/>
          <w:color w:val="2F855A"/>
          <w:sz w:val="28"/>
          <w:szCs w:val="28"/>
          <w:lang w:val="es-ES"/>
        </w:rPr>
        <w:t>(</w:t>
      </w:r>
      <w:r w:rsidRPr="79A36207">
        <w:rPr>
          <w:rFonts w:ascii="Arial" w:hAnsi="Arial"/>
          <w:b/>
          <w:bCs/>
          <w:color w:val="2F855A"/>
          <w:sz w:val="28"/>
          <w:szCs w:val="28"/>
          <w:lang w:val="es-ES"/>
        </w:rPr>
        <w:t>*</w:t>
      </w:r>
      <w:r w:rsidR="19D1D5AA" w:rsidRPr="79A36207">
        <w:rPr>
          <w:rFonts w:ascii="Arial" w:hAnsi="Arial"/>
          <w:b/>
          <w:bCs/>
          <w:color w:val="2F855A"/>
          <w:sz w:val="28"/>
          <w:szCs w:val="28"/>
          <w:lang w:val="es-ES"/>
        </w:rPr>
        <w:t>)</w:t>
      </w:r>
    </w:p>
    <w:p w14:paraId="7494F750" w14:textId="0602FC05" w:rsidR="7F727271" w:rsidRDefault="7F727271" w:rsidP="79A36207">
      <w:pPr>
        <w:rPr>
          <w:rFonts w:ascii="Arial" w:hAnsi="Arial"/>
          <w:sz w:val="21"/>
          <w:szCs w:val="21"/>
          <w:lang w:val="es-ES"/>
        </w:rPr>
      </w:pPr>
      <w:r w:rsidRPr="79A36207">
        <w:rPr>
          <w:rFonts w:ascii="Arial" w:hAnsi="Arial"/>
          <w:sz w:val="21"/>
          <w:szCs w:val="21"/>
          <w:lang w:val="es-ES"/>
        </w:rPr>
        <w:t>La Comisión Europea ha publicado un nuevo informe que recoge las mejores prácticas para el diseño de acciones agroambientales y climáticas (AAAC) en el marco de la PAC posterior a 2027.</w:t>
      </w:r>
    </w:p>
    <w:p w14:paraId="1F234AF3" w14:textId="2A7B1B4E" w:rsidR="7F727271" w:rsidRPr="00AF742D" w:rsidRDefault="7F727271" w:rsidP="79A36207">
      <w:pPr>
        <w:rPr>
          <w:lang w:val="es-ES"/>
        </w:rPr>
      </w:pPr>
      <w:r w:rsidRPr="79A36207">
        <w:rPr>
          <w:rFonts w:ascii="Arial" w:hAnsi="Arial"/>
          <w:sz w:val="21"/>
          <w:szCs w:val="21"/>
          <w:lang w:val="es-ES"/>
        </w:rPr>
        <w:t>El presente informe tiene por objeto ayudar a los Estados miembros a preparar sus futuros planes de la PAC, proporcionando recomendaciones concretas, pasos prácticos y ejemplos sobre cómo diseñar medidas que sean eficaces, viables y atractivas para los agricultores.</w:t>
      </w:r>
    </w:p>
    <w:p w14:paraId="6727892C" w14:textId="4C56DDDE" w:rsidR="7F727271" w:rsidRPr="00AF742D" w:rsidRDefault="7F727271" w:rsidP="79A36207">
      <w:pPr>
        <w:rPr>
          <w:lang w:val="es-ES"/>
        </w:rPr>
      </w:pPr>
      <w:r w:rsidRPr="79A36207">
        <w:rPr>
          <w:rFonts w:ascii="Arial" w:hAnsi="Arial"/>
          <w:sz w:val="21"/>
          <w:szCs w:val="21"/>
          <w:lang w:val="es-ES"/>
        </w:rPr>
        <w:t>El informe se basa en la evaluación de los Planes Estratégicos de la PAC vigentes (2023-2027). Identifica las prácticas exitosas, destaca buenos ejemplos de los Estados miembros y establece alrededor de 20 medidas prácticas para apoyar el diseño de acciones agroambientales y climáticas más eficaces en el próximo período de programación.</w:t>
      </w:r>
    </w:p>
    <w:p w14:paraId="26064F7D" w14:textId="3D29EE6C" w:rsidR="7F727271" w:rsidRDefault="7F727271" w:rsidP="79A36207">
      <w:pPr>
        <w:rPr>
          <w:rFonts w:ascii="Arial" w:hAnsi="Arial"/>
          <w:sz w:val="21"/>
          <w:szCs w:val="21"/>
          <w:lang w:val="es-ES"/>
        </w:rPr>
      </w:pPr>
      <w:r w:rsidRPr="79A36207">
        <w:rPr>
          <w:rFonts w:ascii="Arial" w:hAnsi="Arial"/>
          <w:sz w:val="21"/>
          <w:szCs w:val="21"/>
          <w:lang w:val="es-ES"/>
        </w:rPr>
        <w:t>El nuevo enfoque también incluye:</w:t>
      </w:r>
    </w:p>
    <w:p w14:paraId="5AE1DFF7" w14:textId="2B7539A2" w:rsidR="7F727271" w:rsidRPr="00AF742D" w:rsidRDefault="7F727271" w:rsidP="79A36207">
      <w:pPr>
        <w:rPr>
          <w:lang w:val="es-ES"/>
        </w:rPr>
      </w:pPr>
      <w:r w:rsidRPr="79A36207">
        <w:rPr>
          <w:rFonts w:ascii="Arial" w:hAnsi="Arial"/>
          <w:sz w:val="21"/>
          <w:szCs w:val="21"/>
          <w:lang w:val="es-ES"/>
        </w:rPr>
        <w:t>Un sistema de gestión agrícola que combine prácticas de protección y requisitos legales de gestión.</w:t>
      </w:r>
    </w:p>
    <w:p w14:paraId="627F8ADB" w14:textId="2FAA429E" w:rsidR="7F727271" w:rsidRPr="00AF742D" w:rsidRDefault="7F727271" w:rsidP="79A36207">
      <w:pPr>
        <w:rPr>
          <w:lang w:val="es-ES"/>
        </w:rPr>
      </w:pPr>
      <w:r w:rsidRPr="79A36207">
        <w:rPr>
          <w:rFonts w:ascii="Arial" w:hAnsi="Arial"/>
          <w:sz w:val="21"/>
          <w:szCs w:val="21"/>
          <w:lang w:val="es-ES"/>
        </w:rPr>
        <w:t>Apoyo a las inversiones verdes, tanto productivas como no productivas, para mejorar la eficiencia de los recursos y la competitividad agrícola.</w:t>
      </w:r>
    </w:p>
    <w:p w14:paraId="172085D5" w14:textId="089F4E46" w:rsidR="7F727271" w:rsidRPr="00AF742D" w:rsidRDefault="7F727271" w:rsidP="79A36207">
      <w:pPr>
        <w:rPr>
          <w:lang w:val="es-ES"/>
        </w:rPr>
      </w:pPr>
      <w:r w:rsidRPr="79A36207">
        <w:rPr>
          <w:rFonts w:ascii="Arial" w:hAnsi="Arial"/>
          <w:sz w:val="21"/>
          <w:szCs w:val="21"/>
          <w:lang w:val="es-ES"/>
        </w:rPr>
        <w:t>Herramientas complementarias como servicios de asesoramiento, innovación, digitalización y proyectos de cooperación para apoyar la transición.</w:t>
      </w:r>
      <w:r w:rsidR="0BBA0CA3" w:rsidRPr="79A36207">
        <w:rPr>
          <w:rFonts w:ascii="Arial" w:hAnsi="Arial"/>
          <w:sz w:val="21"/>
          <w:szCs w:val="21"/>
          <w:lang w:val="es-ES"/>
        </w:rPr>
        <w:t xml:space="preserve"> </w:t>
      </w:r>
    </w:p>
    <w:p w14:paraId="49C0252F" w14:textId="2E170457" w:rsidR="0F57447E" w:rsidRDefault="0F57447E" w:rsidP="79A36207">
      <w:pPr>
        <w:rPr>
          <w:rFonts w:ascii="Arial" w:hAnsi="Arial"/>
          <w:b/>
          <w:bCs/>
          <w:color w:val="0D6612"/>
          <w:sz w:val="28"/>
          <w:szCs w:val="28"/>
          <w:lang w:val="es-ES"/>
        </w:rPr>
      </w:pPr>
      <w:r w:rsidRPr="79A36207">
        <w:rPr>
          <w:rFonts w:ascii="Arial" w:hAnsi="Arial"/>
          <w:b/>
          <w:bCs/>
          <w:color w:val="0D6612"/>
          <w:sz w:val="21"/>
          <w:szCs w:val="21"/>
          <w:lang w:val="es-ES"/>
        </w:rPr>
        <w:t>(</w:t>
      </w:r>
      <w:r w:rsidR="0BBA0CA3" w:rsidRPr="79A36207">
        <w:rPr>
          <w:rFonts w:ascii="Arial" w:hAnsi="Arial"/>
          <w:b/>
          <w:bCs/>
          <w:color w:val="0D6612"/>
          <w:sz w:val="21"/>
          <w:szCs w:val="21"/>
          <w:lang w:val="es-ES"/>
        </w:rPr>
        <w:t>*</w:t>
      </w:r>
      <w:r w:rsidR="7E0EB511" w:rsidRPr="79A36207">
        <w:rPr>
          <w:rFonts w:ascii="Arial" w:hAnsi="Arial"/>
          <w:b/>
          <w:bCs/>
          <w:color w:val="0D6612"/>
          <w:sz w:val="21"/>
          <w:szCs w:val="21"/>
          <w:lang w:val="es-ES"/>
        </w:rPr>
        <w:t>)</w:t>
      </w:r>
      <w:hyperlink r:id="rId10">
        <w:r w:rsidR="0BBA0CA3" w:rsidRPr="79A36207">
          <w:rPr>
            <w:rStyle w:val="Hyperlink"/>
            <w:b/>
            <w:bCs/>
            <w:color w:val="0D6612"/>
            <w:lang w:val="es-ES"/>
          </w:rPr>
          <w:t>Fuente: Comisión Europea. Buenas prácticas para las acciones agroambientales y climáticas en el marco de la PAC posterior a 2027.</w:t>
        </w:r>
      </w:hyperlink>
    </w:p>
    <w:p w14:paraId="603240D0" w14:textId="77777777" w:rsidR="005A67F1" w:rsidRPr="004D40D9" w:rsidRDefault="005A67F1" w:rsidP="005A67F1">
      <w:pPr>
        <w:rPr>
          <w:rFonts w:ascii="Arial" w:hAnsi="Arial"/>
          <w:sz w:val="21"/>
          <w:szCs w:val="21"/>
          <w:lang w:val="es-ES"/>
        </w:rPr>
      </w:pPr>
    </w:p>
    <w:p w14:paraId="02ED688C" w14:textId="143F746F" w:rsidR="005A67F1" w:rsidRDefault="005A67F1" w:rsidP="005A67F1">
      <w:pPr>
        <w:keepNext/>
        <w:pBdr>
          <w:left w:val="single" w:sz="24" w:space="8" w:color="38A169"/>
        </w:pBdr>
        <w:spacing w:before="440"/>
        <w:rPr>
          <w:lang w:val="es-ES"/>
        </w:rPr>
      </w:pPr>
      <w:r>
        <w:rPr>
          <w:rFonts w:ascii="Arial" w:hAnsi="Arial"/>
          <w:b/>
          <w:bCs/>
          <w:color w:val="2F855A"/>
          <w:sz w:val="28"/>
          <w:szCs w:val="28"/>
          <w:lang w:val="es-ES"/>
        </w:rPr>
        <w:t>6</w:t>
      </w:r>
      <w:r w:rsidRPr="79A36207">
        <w:rPr>
          <w:rFonts w:ascii="Arial" w:hAnsi="Arial"/>
          <w:b/>
          <w:bCs/>
          <w:color w:val="2F855A"/>
          <w:sz w:val="28"/>
          <w:szCs w:val="28"/>
          <w:lang w:val="es-ES"/>
        </w:rPr>
        <w:t xml:space="preserve">. </w:t>
      </w:r>
      <w:r>
        <w:rPr>
          <w:rFonts w:ascii="Arial" w:hAnsi="Arial"/>
          <w:b/>
          <w:bCs/>
          <w:color w:val="2F855A"/>
          <w:sz w:val="28"/>
          <w:szCs w:val="28"/>
          <w:lang w:val="es-ES"/>
        </w:rPr>
        <w:t>Lipesa, una oportunidad para estimular el consumo en Andalucía</w:t>
      </w:r>
    </w:p>
    <w:p w14:paraId="55B13991" w14:textId="59EDDBFF" w:rsidR="005A67F1" w:rsidRPr="00E35879" w:rsidRDefault="005A67F1" w:rsidP="005A67F1">
      <w:pPr>
        <w:rPr>
          <w:rFonts w:ascii="Arial" w:hAnsi="Arial"/>
          <w:sz w:val="21"/>
          <w:szCs w:val="21"/>
          <w:lang w:val="es-ES"/>
        </w:rPr>
      </w:pPr>
      <w:r w:rsidRPr="79A36207">
        <w:rPr>
          <w:rFonts w:ascii="Arial" w:hAnsi="Arial"/>
          <w:sz w:val="21"/>
          <w:szCs w:val="21"/>
          <w:lang w:val="es-ES"/>
        </w:rPr>
        <w:t>La</w:t>
      </w:r>
      <w:r>
        <w:rPr>
          <w:rFonts w:ascii="Arial" w:hAnsi="Arial"/>
          <w:sz w:val="21"/>
          <w:szCs w:val="21"/>
          <w:lang w:val="es-ES"/>
        </w:rPr>
        <w:t xml:space="preserve"> </w:t>
      </w:r>
      <w:r w:rsidRPr="00E35879">
        <w:rPr>
          <w:rFonts w:ascii="Arial" w:hAnsi="Arial"/>
          <w:sz w:val="21"/>
          <w:szCs w:val="21"/>
          <w:lang w:val="es-ES"/>
        </w:rPr>
        <w:t>Ley de Impulso y Promoción de la Producción Ecológica en Andalucía (Lipesa), aprobada en noviembre de 2025, establece medidas concretas para fomentar el consumo de productos ecológicos entre la población general; apuesta por su producción en fincas y montes públicos; favorece una mayor presencia de estos alimentos en hoteles, restaurantes y cafeterías; y priorización de estos en la licitación de servicios alimentarios en centros públicos, especialmente educativos, sociosanitarios y de salud. Ecovalia celebra esta norma como pionera en España y modelo a seguir para una nueva regulación de ámbito nacional.</w:t>
      </w:r>
    </w:p>
    <w:p w14:paraId="1DEB2E1D" w14:textId="6932A938" w:rsidR="00A24E39" w:rsidRPr="00A24E39" w:rsidRDefault="00A24E39" w:rsidP="00A24E39">
      <w:pPr>
        <w:rPr>
          <w:rFonts w:ascii="Arial" w:hAnsi="Arial"/>
          <w:sz w:val="21"/>
          <w:szCs w:val="21"/>
          <w:lang w:val="es-ES"/>
        </w:rPr>
      </w:pPr>
      <w:r w:rsidRPr="00A24E39">
        <w:rPr>
          <w:rFonts w:ascii="Arial" w:hAnsi="Arial"/>
          <w:sz w:val="21"/>
          <w:szCs w:val="21"/>
          <w:lang w:val="es-ES"/>
        </w:rPr>
        <w:t>Lipesa</w:t>
      </w:r>
      <w:r>
        <w:rPr>
          <w:rFonts w:ascii="Arial" w:hAnsi="Arial"/>
          <w:sz w:val="21"/>
          <w:szCs w:val="21"/>
          <w:lang w:val="es-ES"/>
        </w:rPr>
        <w:t xml:space="preserve">, que desarrolla el mandato </w:t>
      </w:r>
      <w:r w:rsidRPr="00E35879">
        <w:rPr>
          <w:rFonts w:ascii="Arial" w:hAnsi="Arial"/>
          <w:sz w:val="21"/>
          <w:szCs w:val="21"/>
          <w:lang w:val="es-ES"/>
        </w:rPr>
        <w:t>del Estatuto de Autonomía, cuyo artículo 197 ya recoge que “los poderes públicos de Andalucía orientarán sus políticas especialmente al desarrollo de la agricultura ecológica”,</w:t>
      </w:r>
      <w:r w:rsidRPr="00A24E39">
        <w:rPr>
          <w:rFonts w:ascii="Arial" w:hAnsi="Arial"/>
          <w:sz w:val="21"/>
          <w:szCs w:val="21"/>
          <w:lang w:val="es-ES"/>
        </w:rPr>
        <w:t xml:space="preserve"> establece un sólido marco de fomento de la producción ecológica, su transformación, comercialización y promoción con iniciativas novedosas como la obligación de promover ayudas de la Política Agraria Común (PAC) de la Unión Europea para las producciones ecológicas, la priorización en todos los ámbitos con ayudas de al menos el 5% de la puntuación, el fomento de este modelo en fincas y montes públicos, y la adopción de medidas específicas de promoción.</w:t>
      </w:r>
    </w:p>
    <w:p w14:paraId="6254E0F4" w14:textId="33D52258" w:rsidR="00A24E39" w:rsidRPr="00A24E39" w:rsidRDefault="00A24E39" w:rsidP="00A24E39">
      <w:pPr>
        <w:rPr>
          <w:rFonts w:ascii="Arial" w:hAnsi="Arial"/>
          <w:sz w:val="21"/>
          <w:szCs w:val="21"/>
          <w:lang w:val="es-ES"/>
        </w:rPr>
      </w:pPr>
      <w:r>
        <w:rPr>
          <w:rFonts w:ascii="Arial" w:hAnsi="Arial"/>
          <w:sz w:val="21"/>
          <w:szCs w:val="21"/>
          <w:lang w:val="es-ES"/>
        </w:rPr>
        <w:t>U</w:t>
      </w:r>
      <w:r w:rsidRPr="00A24E39">
        <w:rPr>
          <w:rFonts w:ascii="Arial" w:hAnsi="Arial"/>
          <w:sz w:val="21"/>
          <w:szCs w:val="21"/>
          <w:lang w:val="es-ES"/>
        </w:rPr>
        <w:t>na de sus grandes novedades regulatorias es, sin duda, el esfuerzo por situar los volúmenes de consumo de producto ecológico, poco a poco, a la altura de la capacidad productiva de la comunidad autónoma, algo imprescindible para Ecovalia. La ley establece el desarrollo de programas de fomento del consumo de productos ecológicos en centros públicos de la Junta de Andalucía; la realización de campañas informativas a la población; la promoción en hoteles, restaurantes y cafeterías; el impulso de la venta directa en mercados locales y en las propias explotaciones; y el fomento de la participación de empresas andaluzas en ferias y campañas de promoción internacional.</w:t>
      </w:r>
    </w:p>
    <w:p w14:paraId="4A5108E2" w14:textId="1106E09E" w:rsidR="79A36207" w:rsidRDefault="00A24E39" w:rsidP="79A36207">
      <w:pPr>
        <w:rPr>
          <w:rFonts w:ascii="Arial" w:hAnsi="Arial"/>
          <w:sz w:val="21"/>
          <w:szCs w:val="21"/>
          <w:lang w:val="es-ES"/>
        </w:rPr>
      </w:pPr>
      <w:r w:rsidRPr="00A24E39">
        <w:rPr>
          <w:rFonts w:ascii="Arial" w:hAnsi="Arial"/>
          <w:sz w:val="21"/>
          <w:szCs w:val="21"/>
          <w:lang w:val="es-ES"/>
        </w:rPr>
        <w:t>Entre otras medidas, y una vez esté completamente desarrollada reglamentariamente, la ley obligará a priorizar la utilización de alimentos ecológicos en licitaciones referentes a servicios de hostelería, cáterin y restauración, contratos de concesión de servicio, así como suministros de carácter alimentario, en especial en centros educativos, sociosanitarios y de salud. Esta novedad legislativa, una vez concretada vía desarrollo reglamentario, supondrá un antes y un después para la producción y consumo de productos ecológicos en Andalucía, con un modelo normativo que será previsiblemente referente para el resto del país.</w:t>
      </w:r>
    </w:p>
    <w:p w14:paraId="15A4054B" w14:textId="642E71D2" w:rsidR="79A36207" w:rsidRDefault="79A36207" w:rsidP="79A36207">
      <w:pPr>
        <w:rPr>
          <w:rFonts w:ascii="Arial" w:hAnsi="Arial"/>
          <w:sz w:val="21"/>
          <w:szCs w:val="21"/>
          <w:lang w:val="es-ES"/>
        </w:rPr>
      </w:pPr>
    </w:p>
    <w:p w14:paraId="3EA838D2" w14:textId="4A7915FA" w:rsidR="00E35879" w:rsidRDefault="00E35879" w:rsidP="00A053D3">
      <w:pPr>
        <w:pBdr>
          <w:left w:val="single" w:sz="24" w:space="8" w:color="38A169"/>
        </w:pBdr>
        <w:spacing w:before="440"/>
        <w:rPr>
          <w:lang w:val="es-ES"/>
        </w:rPr>
      </w:pPr>
      <w:r w:rsidRPr="67878FD5">
        <w:rPr>
          <w:rFonts w:ascii="Arial" w:hAnsi="Arial"/>
          <w:b/>
          <w:bCs/>
          <w:color w:val="2F855A"/>
          <w:sz w:val="28"/>
          <w:szCs w:val="28"/>
          <w:lang w:val="es-ES"/>
        </w:rPr>
        <w:t xml:space="preserve">7. </w:t>
      </w:r>
      <w:r w:rsidR="006B2C87" w:rsidRPr="67878FD5">
        <w:rPr>
          <w:rFonts w:ascii="Arial" w:hAnsi="Arial"/>
          <w:b/>
          <w:bCs/>
          <w:color w:val="2F855A"/>
          <w:sz w:val="28"/>
          <w:szCs w:val="28"/>
          <w:lang w:val="es-ES"/>
        </w:rPr>
        <w:t xml:space="preserve">Combatir el </w:t>
      </w:r>
      <w:r w:rsidRPr="67878FD5">
        <w:rPr>
          <w:rFonts w:ascii="Arial" w:hAnsi="Arial"/>
          <w:b/>
          <w:bCs/>
          <w:color w:val="2F855A"/>
          <w:sz w:val="28"/>
          <w:szCs w:val="28"/>
          <w:lang w:val="es-ES"/>
        </w:rPr>
        <w:t>Greenwashing</w:t>
      </w:r>
      <w:r w:rsidR="006B2C87" w:rsidRPr="67878FD5">
        <w:rPr>
          <w:rFonts w:ascii="Arial" w:hAnsi="Arial"/>
          <w:b/>
          <w:bCs/>
          <w:color w:val="2F855A"/>
          <w:sz w:val="28"/>
          <w:szCs w:val="28"/>
          <w:lang w:val="es-ES"/>
        </w:rPr>
        <w:t xml:space="preserve"> y reforzar la Eurohoja: el compromiso que el sector ecológico necesita </w:t>
      </w:r>
    </w:p>
    <w:p w14:paraId="3A3DCCF1" w14:textId="2C8C3AFE" w:rsidR="00093901" w:rsidRPr="00B677E7" w:rsidRDefault="00B677E7" w:rsidP="00093901">
      <w:pPr>
        <w:rPr>
          <w:rFonts w:ascii="Arial" w:hAnsi="Arial"/>
          <w:b/>
          <w:bCs/>
          <w:sz w:val="21"/>
          <w:szCs w:val="21"/>
          <w:lang w:val="es-ES"/>
        </w:rPr>
      </w:pPr>
      <w:r w:rsidRPr="00B677E7">
        <w:rPr>
          <w:rFonts w:ascii="Arial" w:hAnsi="Arial"/>
          <w:b/>
          <w:bCs/>
          <w:sz w:val="21"/>
          <w:szCs w:val="21"/>
          <w:lang w:val="es-ES"/>
        </w:rPr>
        <w:t>¿Qué es el greenwashing o “marketing verde” falso?</w:t>
      </w:r>
    </w:p>
    <w:p w14:paraId="3D027AE8" w14:textId="14A5DDE1" w:rsidR="00093901" w:rsidRPr="00093901" w:rsidRDefault="00093901" w:rsidP="00093901">
      <w:pPr>
        <w:rPr>
          <w:rFonts w:ascii="Arial" w:hAnsi="Arial"/>
          <w:sz w:val="21"/>
          <w:szCs w:val="21"/>
          <w:lang w:val="es-ES"/>
        </w:rPr>
      </w:pPr>
      <w:r w:rsidRPr="00093901">
        <w:rPr>
          <w:rFonts w:ascii="Arial" w:hAnsi="Arial"/>
          <w:sz w:val="21"/>
          <w:szCs w:val="21"/>
          <w:lang w:val="es-ES"/>
        </w:rPr>
        <w:t xml:space="preserve">El greenwashing, o “marketing verde” falso, es una estrategia de comunicación engañosa que consiste en transmitir una imagen de sostenibilidad sin que haya una base real que lo respalde. </w:t>
      </w:r>
    </w:p>
    <w:p w14:paraId="4EB5DCD8" w14:textId="77777777" w:rsidR="00093901" w:rsidRPr="00093901" w:rsidRDefault="00093901" w:rsidP="00093901">
      <w:pPr>
        <w:rPr>
          <w:rFonts w:ascii="Arial" w:hAnsi="Arial"/>
          <w:sz w:val="21"/>
          <w:szCs w:val="21"/>
          <w:lang w:val="es-ES"/>
        </w:rPr>
      </w:pPr>
      <w:r w:rsidRPr="00093901">
        <w:rPr>
          <w:rFonts w:ascii="Arial" w:hAnsi="Arial"/>
          <w:sz w:val="21"/>
          <w:szCs w:val="21"/>
          <w:lang w:val="es-ES"/>
        </w:rPr>
        <w:t xml:space="preserve">Esta práctica:  </w:t>
      </w:r>
    </w:p>
    <w:p w14:paraId="688C9405" w14:textId="77777777" w:rsidR="00093901" w:rsidRPr="00093901" w:rsidRDefault="00093901" w:rsidP="00093901">
      <w:pPr>
        <w:pStyle w:val="ListParagraph"/>
        <w:numPr>
          <w:ilvl w:val="0"/>
          <w:numId w:val="16"/>
        </w:numPr>
        <w:rPr>
          <w:rFonts w:ascii="Arial" w:hAnsi="Arial"/>
          <w:sz w:val="21"/>
          <w:szCs w:val="21"/>
          <w:lang w:val="es-ES"/>
        </w:rPr>
      </w:pPr>
      <w:r w:rsidRPr="00093901">
        <w:rPr>
          <w:rFonts w:ascii="Arial" w:hAnsi="Arial"/>
          <w:sz w:val="21"/>
          <w:szCs w:val="21"/>
          <w:lang w:val="es-ES"/>
        </w:rPr>
        <w:t xml:space="preserve">Desorienta al consumidor. </w:t>
      </w:r>
    </w:p>
    <w:p w14:paraId="74176FC9" w14:textId="77777777" w:rsidR="00093901" w:rsidRPr="00093901" w:rsidRDefault="00093901" w:rsidP="00093901">
      <w:pPr>
        <w:pStyle w:val="ListParagraph"/>
        <w:numPr>
          <w:ilvl w:val="0"/>
          <w:numId w:val="16"/>
        </w:numPr>
        <w:rPr>
          <w:rFonts w:ascii="Arial" w:hAnsi="Arial"/>
          <w:sz w:val="21"/>
          <w:szCs w:val="21"/>
          <w:lang w:val="es-ES"/>
        </w:rPr>
      </w:pPr>
      <w:r w:rsidRPr="00093901">
        <w:rPr>
          <w:rFonts w:ascii="Arial" w:hAnsi="Arial"/>
          <w:sz w:val="21"/>
          <w:szCs w:val="21"/>
          <w:lang w:val="es-ES"/>
        </w:rPr>
        <w:t xml:space="preserve">Penaliza a los productores que sí cumplen con los estándares ecológicos. </w:t>
      </w:r>
    </w:p>
    <w:p w14:paraId="134F2C7B" w14:textId="42286868" w:rsidR="00093901" w:rsidRPr="00093901" w:rsidRDefault="00093901" w:rsidP="00093901">
      <w:pPr>
        <w:pStyle w:val="ListParagraph"/>
        <w:numPr>
          <w:ilvl w:val="0"/>
          <w:numId w:val="16"/>
        </w:numPr>
        <w:rPr>
          <w:rFonts w:ascii="Arial" w:hAnsi="Arial"/>
          <w:sz w:val="21"/>
          <w:szCs w:val="21"/>
          <w:lang w:val="es-ES"/>
        </w:rPr>
      </w:pPr>
      <w:r w:rsidRPr="00093901">
        <w:rPr>
          <w:rFonts w:ascii="Arial" w:hAnsi="Arial"/>
          <w:sz w:val="21"/>
          <w:szCs w:val="21"/>
          <w:lang w:val="es-ES"/>
        </w:rPr>
        <w:t>Resta credibilidad al conjunto del sector agroalimentario.</w:t>
      </w:r>
    </w:p>
    <w:p w14:paraId="61E4D6E8" w14:textId="77777777" w:rsidR="009A7F36" w:rsidRDefault="009A7F36" w:rsidP="79A36207">
      <w:pPr>
        <w:rPr>
          <w:rFonts w:ascii="Arial" w:hAnsi="Arial"/>
          <w:sz w:val="21"/>
          <w:szCs w:val="21"/>
          <w:lang w:val="es-ES"/>
        </w:rPr>
      </w:pPr>
      <w:r w:rsidRPr="009A7F36">
        <w:rPr>
          <w:rFonts w:ascii="Arial" w:hAnsi="Arial"/>
          <w:sz w:val="21"/>
          <w:szCs w:val="21"/>
          <w:lang w:val="es-ES"/>
        </w:rPr>
        <w:t xml:space="preserve">La futura aplicación de la </w:t>
      </w:r>
      <w:r w:rsidRPr="009A7F36">
        <w:rPr>
          <w:rFonts w:ascii="Arial" w:hAnsi="Arial"/>
          <w:b/>
          <w:bCs/>
          <w:sz w:val="21"/>
          <w:szCs w:val="21"/>
          <w:lang w:val="es-ES"/>
        </w:rPr>
        <w:t>Directiva europea 2024/825</w:t>
      </w:r>
      <w:r w:rsidRPr="009A7F36">
        <w:rPr>
          <w:rFonts w:ascii="Arial" w:hAnsi="Arial"/>
          <w:sz w:val="21"/>
          <w:szCs w:val="21"/>
          <w:lang w:val="es-ES"/>
        </w:rPr>
        <w:t xml:space="preserve"> refuerza una demanda creciente de los consumidores: disponer de información ambiental clara, verificable y basada en hechos. En un contexto en el que proliferan términos como «sostenible», «verde», «natural» o «respetuoso con el medio ambiente», la nueva normativa impulsará una mayor transparencia y limitará el uso de alegaciones ambientales que no puedan demostrarse objetivamente. </w:t>
      </w:r>
    </w:p>
    <w:p w14:paraId="0DA10DAE" w14:textId="77777777" w:rsidR="009F036F" w:rsidRDefault="009A7F36" w:rsidP="79A36207">
      <w:pPr>
        <w:rPr>
          <w:rFonts w:ascii="Arial" w:hAnsi="Arial"/>
          <w:sz w:val="21"/>
          <w:szCs w:val="21"/>
          <w:lang w:val="es-ES"/>
        </w:rPr>
      </w:pPr>
      <w:r w:rsidRPr="009A7F36">
        <w:rPr>
          <w:rFonts w:ascii="Arial" w:hAnsi="Arial"/>
          <w:sz w:val="21"/>
          <w:szCs w:val="21"/>
          <w:lang w:val="es-ES"/>
        </w:rPr>
        <w:t xml:space="preserve">Esta evolución normativa pone de relieve la importancia de diferenciar entre conceptos utilizados con fines comerciales y modelos de producción respaldados por una regulación específica, sistemas de control y certificación reconocidos. </w:t>
      </w:r>
    </w:p>
    <w:p w14:paraId="25D0455A" w14:textId="77777777" w:rsidR="00A053D3" w:rsidRPr="00A053D3" w:rsidRDefault="00A053D3" w:rsidP="00A053D3">
      <w:pPr>
        <w:rPr>
          <w:rFonts w:ascii="Arial" w:hAnsi="Arial"/>
          <w:sz w:val="21"/>
          <w:szCs w:val="21"/>
          <w:lang w:val="es-ES"/>
        </w:rPr>
      </w:pPr>
      <w:r w:rsidRPr="00A053D3">
        <w:rPr>
          <w:rFonts w:ascii="Arial" w:hAnsi="Arial"/>
          <w:b/>
          <w:bCs/>
          <w:sz w:val="21"/>
          <w:szCs w:val="21"/>
          <w:lang w:val="es-ES"/>
        </w:rPr>
        <w:t>La Eurohoja: el único distintivo oficial de la Unión Europea</w:t>
      </w:r>
      <w:r w:rsidRPr="00A053D3">
        <w:rPr>
          <w:rFonts w:ascii="Arial" w:hAnsi="Arial"/>
          <w:sz w:val="21"/>
          <w:szCs w:val="21"/>
          <w:lang w:val="es-ES"/>
        </w:rPr>
        <w:t> </w:t>
      </w:r>
    </w:p>
    <w:p w14:paraId="7AC479AB" w14:textId="224CEC31" w:rsidR="00E426DA" w:rsidRPr="00E426DA" w:rsidRDefault="00E426DA" w:rsidP="00E426DA">
      <w:pPr>
        <w:rPr>
          <w:rFonts w:ascii="Arial" w:hAnsi="Arial"/>
          <w:sz w:val="21"/>
          <w:szCs w:val="21"/>
          <w:lang w:val="es-ES"/>
        </w:rPr>
      </w:pPr>
      <w:r w:rsidRPr="00E426DA">
        <w:rPr>
          <w:rFonts w:ascii="Arial" w:hAnsi="Arial"/>
          <w:sz w:val="21"/>
          <w:szCs w:val="21"/>
          <w:lang w:val="es-ES"/>
        </w:rPr>
        <w:t>En este sentido, la Eurohoja, sello ecológico oficial de la Unión Europea, constituye una garantía verificable para el consumidor, ya que acredita el cumplimiento de una normativa común en materia de producción ecológica, trazabilidad, bienestar animal y sostenibilidad. Más allá de las declaraciones o percepciones, la confianza del consumidor se construye sobre criterios objetivos, mecanismos de control independientes y una certificación que permita identificar de forma clara aquellos productos que cumplen estándares ambientales reconocidos.</w:t>
      </w:r>
    </w:p>
    <w:p w14:paraId="3231E197" w14:textId="72E31B73" w:rsidR="00E35879" w:rsidRDefault="009A7F36" w:rsidP="79A36207">
      <w:pPr>
        <w:rPr>
          <w:rFonts w:ascii="Arial" w:hAnsi="Arial"/>
          <w:sz w:val="21"/>
          <w:szCs w:val="21"/>
          <w:lang w:val="es-ES"/>
        </w:rPr>
      </w:pPr>
      <w:r w:rsidRPr="009A7F36">
        <w:rPr>
          <w:rFonts w:ascii="Arial" w:hAnsi="Arial"/>
          <w:sz w:val="21"/>
          <w:szCs w:val="21"/>
          <w:lang w:val="es-ES"/>
        </w:rPr>
        <w:t>Para el consumidor, la garantía no reside únicamente en el mensaje, sino en la existencia de normas comunes, verificaciones independientes y requisitos exigibles que permitan acreditar de forma objetiva los beneficios ambientales asociados a un producto o sistema de producción.</w:t>
      </w:r>
    </w:p>
    <w:p w14:paraId="17FDB86D" w14:textId="0EED1B60" w:rsidR="00E35879" w:rsidRDefault="004F2872" w:rsidP="00E35879">
      <w:pPr>
        <w:keepNext/>
        <w:pBdr>
          <w:left w:val="single" w:sz="24" w:space="8" w:color="38A169"/>
        </w:pBdr>
        <w:spacing w:before="440"/>
        <w:rPr>
          <w:lang w:val="es-ES"/>
        </w:rPr>
      </w:pPr>
      <w:r>
        <w:rPr>
          <w:rFonts w:ascii="Arial" w:hAnsi="Arial"/>
          <w:b/>
          <w:bCs/>
          <w:color w:val="2F855A"/>
          <w:sz w:val="28"/>
          <w:szCs w:val="28"/>
          <w:lang w:val="es-ES"/>
        </w:rPr>
        <w:t>8.</w:t>
      </w:r>
      <w:r w:rsidR="00952A1B">
        <w:rPr>
          <w:rFonts w:ascii="Arial" w:hAnsi="Arial"/>
          <w:b/>
          <w:bCs/>
          <w:color w:val="2F855A"/>
          <w:sz w:val="28"/>
          <w:szCs w:val="28"/>
          <w:lang w:val="es-ES"/>
        </w:rPr>
        <w:t xml:space="preserve"> </w:t>
      </w:r>
      <w:r w:rsidR="00E35879">
        <w:rPr>
          <w:rFonts w:ascii="Arial" w:hAnsi="Arial"/>
          <w:b/>
          <w:bCs/>
          <w:color w:val="2F855A"/>
          <w:sz w:val="28"/>
          <w:szCs w:val="28"/>
          <w:lang w:val="es-ES"/>
        </w:rPr>
        <w:t>Decálogo de la Producción Ecológica</w:t>
      </w:r>
    </w:p>
    <w:p w14:paraId="74F12CB6" w14:textId="77777777" w:rsidR="000D0856" w:rsidRDefault="000D0856" w:rsidP="000D0856">
      <w:pPr>
        <w:rPr>
          <w:rFonts w:ascii="Arial" w:hAnsi="Arial"/>
          <w:sz w:val="21"/>
          <w:szCs w:val="21"/>
          <w:lang w:val="es-ES"/>
        </w:rPr>
      </w:pPr>
      <w:r w:rsidRPr="002346DE">
        <w:rPr>
          <w:rFonts w:ascii="Arial" w:hAnsi="Arial"/>
          <w:sz w:val="21"/>
          <w:szCs w:val="21"/>
          <w:lang w:val="es-ES"/>
        </w:rPr>
        <w:t xml:space="preserve">El modelo ecológico tiene el potencial de liderar la transformación del sistema agroalimentario. Para hacerlo, necesita el impulso de políticas públicas que lo pongan al alcance de todos.   </w:t>
      </w:r>
    </w:p>
    <w:p w14:paraId="4EB66388" w14:textId="77777777" w:rsidR="000D0856" w:rsidRPr="002346DE" w:rsidRDefault="000D0856" w:rsidP="000D0856">
      <w:pPr>
        <w:rPr>
          <w:rFonts w:ascii="Arial" w:hAnsi="Arial"/>
          <w:sz w:val="21"/>
          <w:szCs w:val="21"/>
          <w:lang w:val="es-ES"/>
        </w:rPr>
      </w:pPr>
      <w:r w:rsidRPr="002346DE">
        <w:rPr>
          <w:rFonts w:ascii="Arial" w:hAnsi="Arial"/>
          <w:sz w:val="21"/>
          <w:szCs w:val="21"/>
          <w:lang w:val="es-ES"/>
        </w:rPr>
        <w:t xml:space="preserve">Con esta visión, Ecovalia y Asobio se han unido para poner de manifiesto las necesidades del sector que impulsen una hoja de ruta clara para fortalecer el consumo interno, proteger al consumidor y consolidar un mercado justo, sostenible y competitivo. </w:t>
      </w:r>
    </w:p>
    <w:p w14:paraId="166A94DB" w14:textId="3EF023C8" w:rsidR="002346DE" w:rsidRPr="002346DE" w:rsidRDefault="000D0856" w:rsidP="002346DE">
      <w:pPr>
        <w:rPr>
          <w:rFonts w:ascii="Arial" w:hAnsi="Arial"/>
          <w:sz w:val="21"/>
          <w:szCs w:val="21"/>
          <w:lang w:val="es-ES"/>
        </w:rPr>
      </w:pPr>
      <w:r w:rsidRPr="002346DE">
        <w:rPr>
          <w:rFonts w:ascii="Arial" w:hAnsi="Arial"/>
          <w:sz w:val="21"/>
          <w:szCs w:val="21"/>
          <w:lang w:val="es-ES"/>
        </w:rPr>
        <w:t>Dichas necesidades se han dejado recogidas en un Decálogo que ya está circulando en los despachos del Ministerio de Agricultura, Pesca y Alimentación. Dicho decálogo recoge</w:t>
      </w:r>
      <w:r>
        <w:rPr>
          <w:rFonts w:ascii="Arial" w:hAnsi="Arial"/>
          <w:sz w:val="21"/>
          <w:szCs w:val="21"/>
          <w:lang w:val="es-ES"/>
        </w:rPr>
        <w:t xml:space="preserve"> </w:t>
      </w:r>
      <w:r w:rsidR="002346DE" w:rsidRPr="002346DE">
        <w:rPr>
          <w:rFonts w:ascii="Arial" w:hAnsi="Arial"/>
          <w:sz w:val="21"/>
          <w:szCs w:val="21"/>
          <w:lang w:val="es-ES"/>
        </w:rPr>
        <w:t>10 claves para transformar el consumo y hacer frente al greenwashing</w:t>
      </w:r>
      <w:r>
        <w:rPr>
          <w:rFonts w:ascii="Arial" w:hAnsi="Arial"/>
          <w:sz w:val="21"/>
          <w:szCs w:val="21"/>
          <w:lang w:val="es-ES"/>
        </w:rPr>
        <w:t xml:space="preserve">: </w:t>
      </w:r>
    </w:p>
    <w:p w14:paraId="11DD5540"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1. IVA reducido para productos ecológicos certificados   </w:t>
      </w:r>
    </w:p>
    <w:p w14:paraId="1D0AF61F"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La fiscalidad actual penaliza el consumo responsable. El sector reclama la aplicación de un IVA reducido a los productos certificados con la Eurohoja, como ya ocurre en varios países europeos. </w:t>
      </w:r>
    </w:p>
    <w:p w14:paraId="7468AF30"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2. Regulación clara contra el greenwashing </w:t>
      </w:r>
    </w:p>
    <w:p w14:paraId="31A9D361"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La confusión entre lo “natural”, “sostenible” y “ecológico” desinforma al consumidor. El decálogo exige una normativa específica que proteja los términos regulados, evitando el uso fraudulento de mensajes verdes. </w:t>
      </w:r>
    </w:p>
    <w:p w14:paraId="4C65E5E4"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3. Incentivos a puntos de venta con mayor presencia eco   </w:t>
      </w:r>
    </w:p>
    <w:p w14:paraId="08B09E1B"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Más allá de las tiendas especializadas, la oferta ecológica debe estar presente en supermercados y grandes cadenas. Se propone incentivar fiscalmente a los establecimientos que apuesten por el producto certificado. </w:t>
      </w:r>
    </w:p>
    <w:p w14:paraId="04B9C021"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4. Presencia de productos eco en comedores públicos   </w:t>
      </w:r>
    </w:p>
    <w:p w14:paraId="2616697E"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Los comedores escolares, hospitales o centros públicos son clave para democratizar el acceso. El decálogo pide establecer cuotas mínimas de ecológico en restauración colectiva pública. </w:t>
      </w:r>
    </w:p>
    <w:p w14:paraId="733A9358"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5. Promoción y campañas de información al consumidor   </w:t>
      </w:r>
    </w:p>
    <w:p w14:paraId="44496BBB" w14:textId="5D0A4346" w:rsidR="002346DE" w:rsidRPr="002346DE" w:rsidRDefault="002346DE" w:rsidP="002346DE">
      <w:pPr>
        <w:rPr>
          <w:rFonts w:ascii="Arial" w:hAnsi="Arial"/>
          <w:sz w:val="21"/>
          <w:szCs w:val="21"/>
          <w:lang w:val="es-ES"/>
        </w:rPr>
      </w:pPr>
      <w:r w:rsidRPr="4BB7285C">
        <w:rPr>
          <w:rFonts w:ascii="Arial" w:hAnsi="Arial"/>
          <w:sz w:val="21"/>
          <w:szCs w:val="21"/>
          <w:lang w:val="es-ES"/>
        </w:rPr>
        <w:t xml:space="preserve">Conocer el valor ambiental, social y saludable de los productos ecológicos es fundamental. Se proponen campañas de comunicación institucional para posicionar lo ecológico en el imaginario colectivo. </w:t>
      </w:r>
    </w:p>
    <w:p w14:paraId="4FB6C584"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6. Apoyo al comercio especializado   </w:t>
      </w:r>
    </w:p>
    <w:p w14:paraId="4FA3BE7E"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El pequeño comercio ecológico ha sostenido el sector durante décadas. El decálogo pide medidas específicas de apoyo y visibilización para estas tiendas, pilares del consumo consciente. </w:t>
      </w:r>
    </w:p>
    <w:p w14:paraId="5B936F8E"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7. Fomento del relevo generacional e innovación   </w:t>
      </w:r>
    </w:p>
    <w:p w14:paraId="19D6177C"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El futuro del campo ecológico pasa por la formación, la digitalización y la I+D. Se demanda un plan formativo integral que potencie el talento joven y modernice el sector. </w:t>
      </w:r>
    </w:p>
    <w:p w14:paraId="1E6E98C1" w14:textId="77777777" w:rsidR="002346DE" w:rsidRPr="000D0856" w:rsidRDefault="002346DE" w:rsidP="002346DE">
      <w:pPr>
        <w:rPr>
          <w:rFonts w:ascii="Arial" w:hAnsi="Arial"/>
          <w:b/>
          <w:sz w:val="21"/>
          <w:szCs w:val="21"/>
          <w:lang w:val="es-ES"/>
        </w:rPr>
      </w:pPr>
      <w:r w:rsidRPr="000D0856">
        <w:rPr>
          <w:rFonts w:ascii="Arial" w:hAnsi="Arial"/>
          <w:b/>
          <w:sz w:val="21"/>
          <w:szCs w:val="21"/>
          <w:lang w:val="es-ES"/>
        </w:rPr>
        <w:t xml:space="preserve">8. Introducción de un sello de compromiso empresarial   </w:t>
      </w:r>
    </w:p>
    <w:p w14:paraId="1D4AC69A"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Para reconocer públicamente a las empresas que aplican buenas prácticas y apuestan por lo ecológico real, se propone crear un distintivo oficial de compromiso sectorial. </w:t>
      </w:r>
    </w:p>
    <w:p w14:paraId="384CB695" w14:textId="77777777" w:rsidR="002346DE" w:rsidRPr="000D0856" w:rsidRDefault="002346DE" w:rsidP="002346DE">
      <w:pPr>
        <w:rPr>
          <w:rFonts w:ascii="Arial" w:hAnsi="Arial"/>
          <w:b/>
          <w:sz w:val="21"/>
          <w:szCs w:val="21"/>
          <w:lang w:val="es-ES"/>
        </w:rPr>
      </w:pPr>
      <w:r w:rsidRPr="000D0856">
        <w:rPr>
          <w:rFonts w:ascii="Arial" w:hAnsi="Arial"/>
          <w:b/>
          <w:sz w:val="21"/>
          <w:szCs w:val="21"/>
          <w:lang w:val="es-ES"/>
        </w:rPr>
        <w:t xml:space="preserve">9. Medidas de descarbonización del sistema agroalimentario  </w:t>
      </w:r>
    </w:p>
    <w:p w14:paraId="50431AA3"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El modelo ecológico puede reducir hasta un 60% la huella de carbono del sistema alimentario. El decálogo impulsa acciones coordinadas para cumplir con los objetivos climáticos del PNIEC. </w:t>
      </w:r>
    </w:p>
    <w:p w14:paraId="7458A784" w14:textId="77777777" w:rsidR="002346DE" w:rsidRPr="000D0856" w:rsidRDefault="002346DE" w:rsidP="002346DE">
      <w:pPr>
        <w:rPr>
          <w:rFonts w:ascii="Arial" w:hAnsi="Arial"/>
          <w:b/>
          <w:bCs/>
          <w:sz w:val="21"/>
          <w:szCs w:val="21"/>
          <w:lang w:val="es-ES"/>
        </w:rPr>
      </w:pPr>
      <w:r w:rsidRPr="000D0856">
        <w:rPr>
          <w:rFonts w:ascii="Arial" w:hAnsi="Arial"/>
          <w:b/>
          <w:bCs/>
          <w:sz w:val="21"/>
          <w:szCs w:val="21"/>
          <w:lang w:val="es-ES"/>
        </w:rPr>
        <w:t xml:space="preserve">10. Una estrategia nacional para el consumo ecológico   </w:t>
      </w:r>
    </w:p>
    <w:p w14:paraId="364FFCC9" w14:textId="77777777" w:rsidR="002346DE" w:rsidRPr="002346DE" w:rsidRDefault="002346DE" w:rsidP="002346DE">
      <w:pPr>
        <w:rPr>
          <w:rFonts w:ascii="Arial" w:hAnsi="Arial"/>
          <w:sz w:val="21"/>
          <w:szCs w:val="21"/>
          <w:lang w:val="es-ES"/>
        </w:rPr>
      </w:pPr>
      <w:r w:rsidRPr="002346DE">
        <w:rPr>
          <w:rFonts w:ascii="Arial" w:hAnsi="Arial"/>
          <w:sz w:val="21"/>
          <w:szCs w:val="21"/>
          <w:lang w:val="es-ES"/>
        </w:rPr>
        <w:t xml:space="preserve">España es líder europeo en producción, pero no en consumo. El sector exige una estrategia nacional de alimentación ecológica, alineada con las recomendaciones de la UE y con objetivos medibles. </w:t>
      </w:r>
    </w:p>
    <w:p w14:paraId="1134B9EC" w14:textId="4D28D904" w:rsidR="79A36207" w:rsidRDefault="002346DE" w:rsidP="002346DE">
      <w:pPr>
        <w:rPr>
          <w:rFonts w:ascii="Arial" w:hAnsi="Arial"/>
          <w:sz w:val="21"/>
          <w:szCs w:val="21"/>
          <w:lang w:val="es-ES"/>
        </w:rPr>
      </w:pPr>
      <w:r w:rsidRPr="002346DE">
        <w:rPr>
          <w:rFonts w:ascii="Arial" w:hAnsi="Arial"/>
          <w:sz w:val="21"/>
          <w:szCs w:val="21"/>
          <w:lang w:val="es-ES"/>
        </w:rPr>
        <w:t>El decálogo no solo responde a necesidades del sector, sino también a los retos del país: salud pública, desarrollo rural, transición ecológica y resiliencia económica.  Invertir en ecológico es invertir en futuro.</w:t>
      </w:r>
    </w:p>
    <w:p w14:paraId="5C0FA06A" w14:textId="06715FCE" w:rsidR="00717264" w:rsidRPr="00717264" w:rsidRDefault="00717264" w:rsidP="002346DE">
      <w:pPr>
        <w:rPr>
          <w:rStyle w:val="Hyperlink"/>
          <w:rFonts w:ascii="Arial" w:hAnsi="Arial"/>
          <w:sz w:val="21"/>
          <w:szCs w:val="21"/>
          <w:lang w:val="es-ES"/>
        </w:rPr>
      </w:pPr>
      <w:r>
        <w:rPr>
          <w:rFonts w:ascii="Arial" w:hAnsi="Arial"/>
          <w:sz w:val="21"/>
          <w:szCs w:val="21"/>
          <w:lang w:val="es-ES"/>
        </w:rPr>
        <w:fldChar w:fldCharType="begin"/>
      </w:r>
      <w:r>
        <w:rPr>
          <w:rFonts w:ascii="Arial" w:hAnsi="Arial"/>
          <w:sz w:val="21"/>
          <w:szCs w:val="21"/>
          <w:lang w:val="es-ES"/>
        </w:rPr>
        <w:instrText>HYPERLINK "https://ecovalia-repositorio-documental-web-2.s3.amazonaws.com/Decalologo_ProduccionDistribucionConsumo_Ecovalia_2025.pdf"</w:instrText>
      </w:r>
      <w:r>
        <w:rPr>
          <w:rFonts w:ascii="Arial" w:hAnsi="Arial"/>
          <w:sz w:val="21"/>
          <w:szCs w:val="21"/>
          <w:lang w:val="es-ES"/>
        </w:rPr>
      </w:r>
      <w:r>
        <w:rPr>
          <w:rFonts w:ascii="Arial" w:hAnsi="Arial"/>
          <w:sz w:val="21"/>
          <w:szCs w:val="21"/>
          <w:lang w:val="es-ES"/>
        </w:rPr>
        <w:fldChar w:fldCharType="separate"/>
      </w:r>
      <w:r w:rsidRPr="00717264">
        <w:rPr>
          <w:rStyle w:val="Hyperlink"/>
          <w:rFonts w:ascii="Arial" w:hAnsi="Arial"/>
          <w:sz w:val="21"/>
          <w:szCs w:val="21"/>
          <w:lang w:val="es-ES"/>
        </w:rPr>
        <w:t>Descargar “El decálogo de la producción, distribución y consumo ecológico”</w:t>
      </w:r>
    </w:p>
    <w:p w14:paraId="29222F31" w14:textId="2F98729B" w:rsidR="00E35879" w:rsidRPr="00576684" w:rsidRDefault="00717264" w:rsidP="00E35879">
      <w:pPr>
        <w:keepNext/>
        <w:pBdr>
          <w:left w:val="single" w:sz="24" w:space="8" w:color="38A169"/>
        </w:pBdr>
        <w:spacing w:before="440"/>
        <w:rPr>
          <w:lang w:val="es-ES"/>
        </w:rPr>
      </w:pPr>
      <w:r>
        <w:rPr>
          <w:rFonts w:ascii="Arial" w:hAnsi="Arial"/>
          <w:sz w:val="21"/>
          <w:szCs w:val="21"/>
          <w:lang w:val="es-ES"/>
        </w:rPr>
        <w:fldChar w:fldCharType="end"/>
      </w:r>
      <w:r w:rsidR="00952A1B" w:rsidRPr="00576684">
        <w:rPr>
          <w:rFonts w:ascii="Arial" w:hAnsi="Arial"/>
          <w:b/>
          <w:bCs/>
          <w:color w:val="2F855A"/>
          <w:sz w:val="28"/>
          <w:szCs w:val="28"/>
          <w:lang w:val="es-ES"/>
        </w:rPr>
        <w:t xml:space="preserve">9. </w:t>
      </w:r>
      <w:r w:rsidR="00E35879" w:rsidRPr="00576684">
        <w:rPr>
          <w:rFonts w:ascii="Arial" w:hAnsi="Arial"/>
          <w:b/>
          <w:bCs/>
          <w:color w:val="2F855A"/>
          <w:sz w:val="28"/>
          <w:szCs w:val="28"/>
          <w:lang w:val="es-ES"/>
        </w:rPr>
        <w:t>Sobre Ecovalia</w:t>
      </w:r>
    </w:p>
    <w:p w14:paraId="27088B0E" w14:textId="05A6B38C" w:rsidR="79A36207" w:rsidRDefault="00C26B75" w:rsidP="79A36207">
      <w:pPr>
        <w:rPr>
          <w:rFonts w:ascii="Arial" w:hAnsi="Arial"/>
          <w:sz w:val="21"/>
          <w:szCs w:val="21"/>
          <w:lang w:val="es-ES"/>
        </w:rPr>
      </w:pPr>
      <w:r w:rsidRPr="08AEFBDD">
        <w:rPr>
          <w:rFonts w:ascii="Arial" w:hAnsi="Arial"/>
          <w:sz w:val="21"/>
          <w:szCs w:val="21"/>
          <w:lang w:val="es-ES"/>
        </w:rPr>
        <w:t>Ecovalia es la asociación profesional española de referencia en producción ecológica, que cuenta con 35 años de trayectoria impulsando un modelo agroalimentario sostenible, saludable y respetuoso con el medio ambiente. La entidad representa a productores, empresas y profesionales del sector ecológico, trabajando activamente en la promoción de la agricultura y ganadería ecológicas, el consumo responsable y la innovación sostenible. A través de proyectos, formación, divulgación e incidencia institucional, Ecovalia defiende la producción ecológica como una herramienta clave para afrontar retos como el cambio climático, la protección de la biodiversidad y el desarrollo del medio rural.</w:t>
      </w:r>
    </w:p>
    <w:p w14:paraId="78713F26" w14:textId="0175EF7B" w:rsidR="79A36207" w:rsidRDefault="79A36207" w:rsidP="79A36207">
      <w:pPr>
        <w:rPr>
          <w:rFonts w:ascii="Arial" w:hAnsi="Arial"/>
          <w:sz w:val="21"/>
          <w:szCs w:val="21"/>
          <w:lang w:val="es-ES"/>
        </w:rPr>
      </w:pPr>
    </w:p>
    <w:p w14:paraId="57EA9777" w14:textId="5B92908B" w:rsidR="00304852" w:rsidRPr="00B2127F" w:rsidRDefault="39BDD661" w:rsidP="79A36207">
      <w:pPr>
        <w:keepNext/>
        <w:pBdr>
          <w:left w:val="single" w:sz="24" w:space="8" w:color="38A169"/>
        </w:pBdr>
        <w:spacing w:before="440"/>
        <w:rPr>
          <w:rFonts w:ascii="Arial" w:hAnsi="Arial"/>
          <w:b/>
          <w:bCs/>
          <w:color w:val="2F855A"/>
          <w:sz w:val="28"/>
          <w:szCs w:val="28"/>
          <w:lang w:val="es-ES"/>
        </w:rPr>
      </w:pPr>
      <w:r w:rsidRPr="79A36207">
        <w:rPr>
          <w:rFonts w:ascii="Arial" w:hAnsi="Arial"/>
          <w:b/>
          <w:bCs/>
          <w:color w:val="2F855A"/>
          <w:sz w:val="28"/>
          <w:szCs w:val="28"/>
          <w:lang w:val="es-ES"/>
        </w:rPr>
        <w:t>Contacto</w:t>
      </w:r>
      <w:r w:rsidR="48B29F2F" w:rsidRPr="79A36207">
        <w:rPr>
          <w:rFonts w:ascii="Arial" w:hAnsi="Arial"/>
          <w:b/>
          <w:bCs/>
          <w:color w:val="2F855A"/>
          <w:sz w:val="28"/>
          <w:szCs w:val="28"/>
          <w:lang w:val="es-ES"/>
        </w:rPr>
        <w:t xml:space="preserve">: </w:t>
      </w:r>
    </w:p>
    <w:p w14:paraId="5E802090" w14:textId="202C64C2" w:rsidR="004D40D9" w:rsidRDefault="39BDD661" w:rsidP="79A36207">
      <w:pPr>
        <w:spacing w:after="80"/>
        <w:rPr>
          <w:rFonts w:ascii="Arial" w:hAnsi="Arial"/>
          <w:b/>
          <w:bCs/>
          <w:color w:val="2D3748"/>
          <w:sz w:val="20"/>
          <w:szCs w:val="20"/>
          <w:lang w:val="es-ES"/>
        </w:rPr>
      </w:pPr>
      <w:r w:rsidRPr="79A36207">
        <w:rPr>
          <w:rFonts w:ascii="Arial" w:hAnsi="Arial"/>
          <w:b/>
          <w:bCs/>
          <w:color w:val="2D3748"/>
          <w:sz w:val="20"/>
          <w:szCs w:val="20"/>
          <w:lang w:val="es-ES"/>
        </w:rPr>
        <w:t>Departamento de Comunicación</w:t>
      </w:r>
    </w:p>
    <w:p w14:paraId="50165802" w14:textId="206009B8" w:rsidR="00304852" w:rsidRPr="00B2127F" w:rsidRDefault="39BDD661" w:rsidP="79A36207">
      <w:pPr>
        <w:spacing w:after="80"/>
        <w:rPr>
          <w:lang w:val="es-ES"/>
        </w:rPr>
      </w:pPr>
      <w:r w:rsidRPr="79A36207">
        <w:rPr>
          <w:rFonts w:ascii="Arial" w:hAnsi="Arial"/>
          <w:color w:val="2D3748"/>
          <w:sz w:val="20"/>
          <w:szCs w:val="20"/>
          <w:lang w:val="es-ES"/>
        </w:rPr>
        <w:t>Carmen Egea — 690 926 588 — prensa@ecovalia.org</w:t>
      </w:r>
      <w:r w:rsidR="00844892" w:rsidRPr="00AF742D">
        <w:rPr>
          <w:lang w:val="es-ES"/>
        </w:rPr>
        <w:br/>
      </w:r>
      <w:r w:rsidR="00844892" w:rsidRPr="00AF742D">
        <w:rPr>
          <w:lang w:val="es-ES"/>
        </w:rPr>
        <w:br/>
      </w:r>
      <w:r w:rsidRPr="79A36207">
        <w:rPr>
          <w:rFonts w:ascii="Arial" w:hAnsi="Arial"/>
          <w:sz w:val="20"/>
          <w:szCs w:val="20"/>
          <w:lang w:val="es-ES"/>
        </w:rPr>
        <w:t>ecovalia.org</w:t>
      </w:r>
      <w:r w:rsidR="00844892" w:rsidRPr="00AF742D">
        <w:rPr>
          <w:lang w:val="es-ES"/>
        </w:rPr>
        <w:br/>
      </w:r>
      <w:r w:rsidRPr="79A36207">
        <w:rPr>
          <w:rFonts w:ascii="Arial" w:hAnsi="Arial"/>
          <w:sz w:val="20"/>
          <w:szCs w:val="20"/>
          <w:lang w:val="es-ES"/>
        </w:rPr>
        <w:t>Descarga del Informe</w:t>
      </w:r>
      <w:r w:rsidR="276AE385" w:rsidRPr="79A36207">
        <w:rPr>
          <w:rFonts w:ascii="Arial" w:hAnsi="Arial"/>
          <w:sz w:val="20"/>
          <w:szCs w:val="20"/>
          <w:lang w:val="es-ES"/>
        </w:rPr>
        <w:t xml:space="preserve">: </w:t>
      </w:r>
    </w:p>
    <w:p w14:paraId="64A6E889" w14:textId="338D31CB" w:rsidR="00304852" w:rsidRPr="00B2127F" w:rsidRDefault="39BDD661" w:rsidP="79A36207">
      <w:pPr>
        <w:spacing w:after="80"/>
        <w:rPr>
          <w:lang w:val="es-ES"/>
        </w:rPr>
      </w:pPr>
      <w:r w:rsidRPr="79A36207">
        <w:rPr>
          <w:rFonts w:ascii="Arial" w:hAnsi="Arial"/>
          <w:sz w:val="20"/>
          <w:szCs w:val="20"/>
          <w:lang w:val="es-ES"/>
        </w:rPr>
        <w:t>https://www.ecovalia.org/publicaciones/informe-anual-2026/</w:t>
      </w:r>
    </w:p>
    <w:sectPr w:rsidR="00304852" w:rsidRPr="00B2127F" w:rsidSect="00034616">
      <w:headerReference w:type="even" r:id="rId11"/>
      <w:headerReference w:type="default" r:id="rId12"/>
      <w:footerReference w:type="even" r:id="rId13"/>
      <w:footerReference w:type="default" r:id="rId14"/>
      <w:headerReference w:type="first" r:id="rId15"/>
      <w:footerReference w:type="first" r:id="rId16"/>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FB19B" w14:textId="77777777" w:rsidR="0055310E" w:rsidRDefault="0055310E" w:rsidP="00BF5086">
      <w:pPr>
        <w:spacing w:after="0" w:line="240" w:lineRule="auto"/>
      </w:pPr>
      <w:r>
        <w:separator/>
      </w:r>
    </w:p>
  </w:endnote>
  <w:endnote w:type="continuationSeparator" w:id="0">
    <w:p w14:paraId="72C1DA87" w14:textId="77777777" w:rsidR="0055310E" w:rsidRDefault="0055310E" w:rsidP="00BF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0AD5" w14:textId="77777777" w:rsidR="009033F7" w:rsidRDefault="009033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76E3" w14:textId="77777777" w:rsidR="00803D52" w:rsidRPr="00803D52" w:rsidRDefault="00803D52">
    <w:pPr>
      <w:pStyle w:val="Footer"/>
      <w:tabs>
        <w:tab w:val="clear" w:pos="4680"/>
        <w:tab w:val="clear" w:pos="9360"/>
      </w:tabs>
      <w:jc w:val="center"/>
      <w:rPr>
        <w:caps/>
        <w:color w:val="000000" w:themeColor="text1"/>
      </w:rPr>
    </w:pPr>
    <w:r w:rsidRPr="00803D52">
      <w:rPr>
        <w:caps/>
        <w:color w:val="000000" w:themeColor="text1"/>
      </w:rPr>
      <w:fldChar w:fldCharType="begin"/>
    </w:r>
    <w:r w:rsidRPr="00803D52">
      <w:rPr>
        <w:caps/>
        <w:color w:val="000000" w:themeColor="text1"/>
      </w:rPr>
      <w:instrText>PAGE   \* MERGEFORMAT</w:instrText>
    </w:r>
    <w:r w:rsidRPr="00803D52">
      <w:rPr>
        <w:caps/>
        <w:color w:val="000000" w:themeColor="text1"/>
      </w:rPr>
      <w:fldChar w:fldCharType="separate"/>
    </w:r>
    <w:r w:rsidRPr="00803D52">
      <w:rPr>
        <w:caps/>
        <w:color w:val="000000" w:themeColor="text1"/>
        <w:lang w:val="es-ES"/>
      </w:rPr>
      <w:t>2</w:t>
    </w:r>
    <w:r w:rsidRPr="00803D52">
      <w:rPr>
        <w:caps/>
        <w:color w:val="000000" w:themeColor="text1"/>
      </w:rPr>
      <w:fldChar w:fldCharType="end"/>
    </w:r>
  </w:p>
  <w:p w14:paraId="78CAAE2C" w14:textId="77777777" w:rsidR="00803D52" w:rsidRDefault="00803D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8A12" w14:textId="77777777" w:rsidR="009033F7" w:rsidRDefault="00903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CD5F1" w14:textId="77777777" w:rsidR="0055310E" w:rsidRDefault="0055310E" w:rsidP="00BF5086">
      <w:pPr>
        <w:spacing w:after="0" w:line="240" w:lineRule="auto"/>
      </w:pPr>
      <w:r>
        <w:separator/>
      </w:r>
    </w:p>
  </w:footnote>
  <w:footnote w:type="continuationSeparator" w:id="0">
    <w:p w14:paraId="65B9DCC2" w14:textId="77777777" w:rsidR="0055310E" w:rsidRDefault="0055310E" w:rsidP="00BF5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E406" w14:textId="77777777" w:rsidR="009033F7" w:rsidRDefault="009033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4A207" w14:textId="54D4A20B" w:rsidR="00BF5086" w:rsidRDefault="79A36207" w:rsidP="00BF5086">
    <w:pPr>
      <w:pStyle w:val="Header"/>
      <w:jc w:val="right"/>
    </w:pPr>
    <w:r>
      <w:rPr>
        <w:noProof/>
      </w:rPr>
      <w:drawing>
        <wp:inline distT="0" distB="0" distL="0" distR="0" wp14:anchorId="67C0FF1F" wp14:editId="1DCB5241">
          <wp:extent cx="2042437" cy="411206"/>
          <wp:effectExtent l="0" t="0" r="0" b="0"/>
          <wp:docPr id="2043605398" name="drawing">
            <a:extLst xmlns:a="http://schemas.openxmlformats.org/drawingml/2006/main">
              <a:ext uri="{FF2B5EF4-FFF2-40B4-BE49-F238E27FC236}">
                <a16:creationId xmlns:a16="http://schemas.microsoft.com/office/drawing/2014/main" id="{CE17109D-FC77-458E-AF9F-D69B6CAC92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05398" name="Picture 2043605398"/>
                  <pic:cNvPicPr/>
                </pic:nvPicPr>
                <pic:blipFill>
                  <a:blip r:embed="rId1">
                    <a:extLst>
                      <a:ext uri="{28A0092B-C50C-407E-A947-70E740481C1C}">
                        <a14:useLocalDpi xmlns:a14="http://schemas.microsoft.com/office/drawing/2010/main"/>
                      </a:ext>
                    </a:extLst>
                  </a:blip>
                  <a:stretch>
                    <a:fillRect/>
                  </a:stretch>
                </pic:blipFill>
                <pic:spPr>
                  <a:xfrm>
                    <a:off x="0" y="0"/>
                    <a:ext cx="2042437" cy="411206"/>
                  </a:xfrm>
                  <a:prstGeom prst="rect">
                    <a:avLst/>
                  </a:prstGeom>
                </pic:spPr>
              </pic:pic>
            </a:graphicData>
          </a:graphic>
        </wp:inline>
      </w:drawing>
    </w:r>
  </w:p>
  <w:p w14:paraId="2B1DF391" w14:textId="77777777" w:rsidR="00BF5086" w:rsidRDefault="00BF50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563E" w14:textId="77777777" w:rsidR="009033F7" w:rsidRDefault="00903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250F94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FCC1E8"/>
    <w:multiLevelType w:val="hybridMultilevel"/>
    <w:tmpl w:val="895CF6A4"/>
    <w:lvl w:ilvl="0" w:tplc="A468B9CC">
      <w:start w:val="1"/>
      <w:numFmt w:val="decimal"/>
      <w:lvlText w:val="%1."/>
      <w:lvlJc w:val="left"/>
      <w:pPr>
        <w:ind w:left="720" w:hanging="360"/>
      </w:pPr>
    </w:lvl>
    <w:lvl w:ilvl="1" w:tplc="3C84139A">
      <w:start w:val="1"/>
      <w:numFmt w:val="lowerLetter"/>
      <w:lvlText w:val="%2."/>
      <w:lvlJc w:val="left"/>
      <w:pPr>
        <w:ind w:left="1440" w:hanging="360"/>
      </w:pPr>
    </w:lvl>
    <w:lvl w:ilvl="2" w:tplc="3834A07A">
      <w:start w:val="1"/>
      <w:numFmt w:val="lowerRoman"/>
      <w:lvlText w:val="%3."/>
      <w:lvlJc w:val="right"/>
      <w:pPr>
        <w:ind w:left="2160" w:hanging="180"/>
      </w:pPr>
    </w:lvl>
    <w:lvl w:ilvl="3" w:tplc="1A8CD9B0">
      <w:start w:val="1"/>
      <w:numFmt w:val="decimal"/>
      <w:lvlText w:val="%4."/>
      <w:lvlJc w:val="left"/>
      <w:pPr>
        <w:ind w:left="2880" w:hanging="360"/>
      </w:pPr>
    </w:lvl>
    <w:lvl w:ilvl="4" w:tplc="C2BA060C">
      <w:start w:val="1"/>
      <w:numFmt w:val="lowerLetter"/>
      <w:lvlText w:val="%5."/>
      <w:lvlJc w:val="left"/>
      <w:pPr>
        <w:ind w:left="3600" w:hanging="360"/>
      </w:pPr>
    </w:lvl>
    <w:lvl w:ilvl="5" w:tplc="57220CE2">
      <w:start w:val="1"/>
      <w:numFmt w:val="lowerRoman"/>
      <w:lvlText w:val="%6."/>
      <w:lvlJc w:val="right"/>
      <w:pPr>
        <w:ind w:left="4320" w:hanging="180"/>
      </w:pPr>
    </w:lvl>
    <w:lvl w:ilvl="6" w:tplc="AAD05CDA">
      <w:start w:val="1"/>
      <w:numFmt w:val="decimal"/>
      <w:lvlText w:val="%7."/>
      <w:lvlJc w:val="left"/>
      <w:pPr>
        <w:ind w:left="5040" w:hanging="360"/>
      </w:pPr>
    </w:lvl>
    <w:lvl w:ilvl="7" w:tplc="93106CFC">
      <w:start w:val="1"/>
      <w:numFmt w:val="lowerLetter"/>
      <w:lvlText w:val="%8."/>
      <w:lvlJc w:val="left"/>
      <w:pPr>
        <w:ind w:left="5760" w:hanging="360"/>
      </w:pPr>
    </w:lvl>
    <w:lvl w:ilvl="8" w:tplc="75FA63CC">
      <w:start w:val="1"/>
      <w:numFmt w:val="lowerRoman"/>
      <w:lvlText w:val="%9."/>
      <w:lvlJc w:val="right"/>
      <w:pPr>
        <w:ind w:left="6480" w:hanging="180"/>
      </w:pPr>
    </w:lvl>
  </w:abstractNum>
  <w:abstractNum w:abstractNumId="10" w15:restartNumberingAfterBreak="0">
    <w:nsid w:val="091238F9"/>
    <w:multiLevelType w:val="multilevel"/>
    <w:tmpl w:val="F382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8D24F7"/>
    <w:multiLevelType w:val="hybridMultilevel"/>
    <w:tmpl w:val="9D08B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A422780"/>
    <w:multiLevelType w:val="hybridMultilevel"/>
    <w:tmpl w:val="04AC9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B2B2091"/>
    <w:multiLevelType w:val="hybridMultilevel"/>
    <w:tmpl w:val="126053F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4" w15:restartNumberingAfterBreak="0">
    <w:nsid w:val="2366471D"/>
    <w:multiLevelType w:val="multilevel"/>
    <w:tmpl w:val="D194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B115D4"/>
    <w:multiLevelType w:val="multilevel"/>
    <w:tmpl w:val="186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65DA33"/>
    <w:multiLevelType w:val="hybridMultilevel"/>
    <w:tmpl w:val="DFAE94B8"/>
    <w:lvl w:ilvl="0" w:tplc="F7DE9A22">
      <w:start w:val="1"/>
      <w:numFmt w:val="bullet"/>
      <w:lvlText w:val=""/>
      <w:lvlJc w:val="left"/>
      <w:pPr>
        <w:ind w:left="720" w:hanging="360"/>
      </w:pPr>
      <w:rPr>
        <w:rFonts w:ascii="Symbol" w:hAnsi="Symbol" w:hint="default"/>
      </w:rPr>
    </w:lvl>
    <w:lvl w:ilvl="1" w:tplc="842C073A">
      <w:start w:val="1"/>
      <w:numFmt w:val="bullet"/>
      <w:lvlText w:val="o"/>
      <w:lvlJc w:val="left"/>
      <w:pPr>
        <w:ind w:left="1440" w:hanging="360"/>
      </w:pPr>
      <w:rPr>
        <w:rFonts w:ascii="Courier New" w:hAnsi="Courier New" w:hint="default"/>
      </w:rPr>
    </w:lvl>
    <w:lvl w:ilvl="2" w:tplc="7C263D28">
      <w:start w:val="1"/>
      <w:numFmt w:val="bullet"/>
      <w:lvlText w:val=""/>
      <w:lvlJc w:val="left"/>
      <w:pPr>
        <w:ind w:left="2160" w:hanging="360"/>
      </w:pPr>
      <w:rPr>
        <w:rFonts w:ascii="Wingdings" w:hAnsi="Wingdings" w:hint="default"/>
      </w:rPr>
    </w:lvl>
    <w:lvl w:ilvl="3" w:tplc="8D1E39C2">
      <w:start w:val="1"/>
      <w:numFmt w:val="bullet"/>
      <w:lvlText w:val=""/>
      <w:lvlJc w:val="left"/>
      <w:pPr>
        <w:ind w:left="2880" w:hanging="360"/>
      </w:pPr>
      <w:rPr>
        <w:rFonts w:ascii="Symbol" w:hAnsi="Symbol" w:hint="default"/>
      </w:rPr>
    </w:lvl>
    <w:lvl w:ilvl="4" w:tplc="3BA6A166">
      <w:start w:val="1"/>
      <w:numFmt w:val="bullet"/>
      <w:lvlText w:val="o"/>
      <w:lvlJc w:val="left"/>
      <w:pPr>
        <w:ind w:left="3600" w:hanging="360"/>
      </w:pPr>
      <w:rPr>
        <w:rFonts w:ascii="Courier New" w:hAnsi="Courier New" w:hint="default"/>
      </w:rPr>
    </w:lvl>
    <w:lvl w:ilvl="5" w:tplc="583C860E">
      <w:start w:val="1"/>
      <w:numFmt w:val="bullet"/>
      <w:lvlText w:val=""/>
      <w:lvlJc w:val="left"/>
      <w:pPr>
        <w:ind w:left="4320" w:hanging="360"/>
      </w:pPr>
      <w:rPr>
        <w:rFonts w:ascii="Wingdings" w:hAnsi="Wingdings" w:hint="default"/>
      </w:rPr>
    </w:lvl>
    <w:lvl w:ilvl="6" w:tplc="4A340AD6">
      <w:start w:val="1"/>
      <w:numFmt w:val="bullet"/>
      <w:lvlText w:val=""/>
      <w:lvlJc w:val="left"/>
      <w:pPr>
        <w:ind w:left="5040" w:hanging="360"/>
      </w:pPr>
      <w:rPr>
        <w:rFonts w:ascii="Symbol" w:hAnsi="Symbol" w:hint="default"/>
      </w:rPr>
    </w:lvl>
    <w:lvl w:ilvl="7" w:tplc="183C0824">
      <w:start w:val="1"/>
      <w:numFmt w:val="bullet"/>
      <w:lvlText w:val="o"/>
      <w:lvlJc w:val="left"/>
      <w:pPr>
        <w:ind w:left="5760" w:hanging="360"/>
      </w:pPr>
      <w:rPr>
        <w:rFonts w:ascii="Courier New" w:hAnsi="Courier New" w:hint="default"/>
      </w:rPr>
    </w:lvl>
    <w:lvl w:ilvl="8" w:tplc="AADC5948">
      <w:start w:val="1"/>
      <w:numFmt w:val="bullet"/>
      <w:lvlText w:val=""/>
      <w:lvlJc w:val="left"/>
      <w:pPr>
        <w:ind w:left="6480" w:hanging="360"/>
      </w:pPr>
      <w:rPr>
        <w:rFonts w:ascii="Wingdings" w:hAnsi="Wingdings" w:hint="default"/>
      </w:rPr>
    </w:lvl>
  </w:abstractNum>
  <w:abstractNum w:abstractNumId="17" w15:restartNumberingAfterBreak="0">
    <w:nsid w:val="5BF6406E"/>
    <w:multiLevelType w:val="hybridMultilevel"/>
    <w:tmpl w:val="EF32F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5B73232"/>
    <w:multiLevelType w:val="hybridMultilevel"/>
    <w:tmpl w:val="E4FE8E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5451087">
    <w:abstractNumId w:val="16"/>
  </w:num>
  <w:num w:numId="2" w16cid:durableId="1138768624">
    <w:abstractNumId w:val="17"/>
  </w:num>
  <w:num w:numId="3" w16cid:durableId="1340306493">
    <w:abstractNumId w:val="8"/>
  </w:num>
  <w:num w:numId="4" w16cid:durableId="1343972575">
    <w:abstractNumId w:val="7"/>
  </w:num>
  <w:num w:numId="5" w16cid:durableId="1390374119">
    <w:abstractNumId w:val="9"/>
  </w:num>
  <w:num w:numId="6" w16cid:durableId="1667660171">
    <w:abstractNumId w:val="13"/>
  </w:num>
  <w:num w:numId="7" w16cid:durableId="2039620126">
    <w:abstractNumId w:val="6"/>
  </w:num>
  <w:num w:numId="8" w16cid:durableId="2044360134">
    <w:abstractNumId w:val="12"/>
  </w:num>
  <w:num w:numId="9" w16cid:durableId="2045059874">
    <w:abstractNumId w:val="10"/>
  </w:num>
  <w:num w:numId="10" w16cid:durableId="241259903">
    <w:abstractNumId w:val="14"/>
  </w:num>
  <w:num w:numId="11" w16cid:durableId="243497194">
    <w:abstractNumId w:val="15"/>
  </w:num>
  <w:num w:numId="12" w16cid:durableId="304891662">
    <w:abstractNumId w:val="0"/>
  </w:num>
  <w:num w:numId="13" w16cid:durableId="46540651">
    <w:abstractNumId w:val="4"/>
  </w:num>
  <w:num w:numId="14" w16cid:durableId="678509371">
    <w:abstractNumId w:val="11"/>
  </w:num>
  <w:num w:numId="15" w16cid:durableId="73360630">
    <w:abstractNumId w:val="2"/>
  </w:num>
  <w:num w:numId="16" w16cid:durableId="759571003">
    <w:abstractNumId w:val="18"/>
  </w:num>
  <w:num w:numId="17" w16cid:durableId="882594912">
    <w:abstractNumId w:val="5"/>
  </w:num>
  <w:num w:numId="18" w16cid:durableId="911768548">
    <w:abstractNumId w:val="1"/>
  </w:num>
  <w:num w:numId="19" w16cid:durableId="919407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3C3"/>
    <w:rsid w:val="00034616"/>
    <w:rsid w:val="00040E90"/>
    <w:rsid w:val="0006063C"/>
    <w:rsid w:val="00065E6D"/>
    <w:rsid w:val="00070B75"/>
    <w:rsid w:val="00070C98"/>
    <w:rsid w:val="00093901"/>
    <w:rsid w:val="00095FD0"/>
    <w:rsid w:val="000A3723"/>
    <w:rsid w:val="000A503F"/>
    <w:rsid w:val="000B4626"/>
    <w:rsid w:val="000B4965"/>
    <w:rsid w:val="000C07B1"/>
    <w:rsid w:val="000C4B8E"/>
    <w:rsid w:val="000C5F37"/>
    <w:rsid w:val="000C6C0C"/>
    <w:rsid w:val="000D0856"/>
    <w:rsid w:val="000E3AC4"/>
    <w:rsid w:val="000F24C1"/>
    <w:rsid w:val="000F2688"/>
    <w:rsid w:val="000F3704"/>
    <w:rsid w:val="000F39C3"/>
    <w:rsid w:val="00103BF3"/>
    <w:rsid w:val="00115A74"/>
    <w:rsid w:val="00121AE4"/>
    <w:rsid w:val="001411AF"/>
    <w:rsid w:val="00143111"/>
    <w:rsid w:val="00150745"/>
    <w:rsid w:val="0015074B"/>
    <w:rsid w:val="00174902"/>
    <w:rsid w:val="001854FB"/>
    <w:rsid w:val="00191B17"/>
    <w:rsid w:val="0019668F"/>
    <w:rsid w:val="001A33AA"/>
    <w:rsid w:val="001C57C3"/>
    <w:rsid w:val="001C6131"/>
    <w:rsid w:val="001D08C5"/>
    <w:rsid w:val="001E4363"/>
    <w:rsid w:val="001E6BDF"/>
    <w:rsid w:val="001F2732"/>
    <w:rsid w:val="00211C99"/>
    <w:rsid w:val="00222680"/>
    <w:rsid w:val="00224EE2"/>
    <w:rsid w:val="002346DE"/>
    <w:rsid w:val="00237D98"/>
    <w:rsid w:val="00240973"/>
    <w:rsid w:val="0024464D"/>
    <w:rsid w:val="002472EE"/>
    <w:rsid w:val="00247461"/>
    <w:rsid w:val="00251106"/>
    <w:rsid w:val="002572A7"/>
    <w:rsid w:val="00261C2A"/>
    <w:rsid w:val="00261D29"/>
    <w:rsid w:val="0026464F"/>
    <w:rsid w:val="00266B76"/>
    <w:rsid w:val="00280E77"/>
    <w:rsid w:val="0029639D"/>
    <w:rsid w:val="002B20CB"/>
    <w:rsid w:val="002B63BC"/>
    <w:rsid w:val="002C1F57"/>
    <w:rsid w:val="002C3DE7"/>
    <w:rsid w:val="002D5BB7"/>
    <w:rsid w:val="002E68EC"/>
    <w:rsid w:val="002F4AC3"/>
    <w:rsid w:val="002F7615"/>
    <w:rsid w:val="00304852"/>
    <w:rsid w:val="00306B51"/>
    <w:rsid w:val="00326F90"/>
    <w:rsid w:val="003655CA"/>
    <w:rsid w:val="00365DD3"/>
    <w:rsid w:val="00375118"/>
    <w:rsid w:val="00381FA2"/>
    <w:rsid w:val="00383DD7"/>
    <w:rsid w:val="00391535"/>
    <w:rsid w:val="003A118E"/>
    <w:rsid w:val="003A33F7"/>
    <w:rsid w:val="003B539C"/>
    <w:rsid w:val="003B61AA"/>
    <w:rsid w:val="003C202D"/>
    <w:rsid w:val="003C2712"/>
    <w:rsid w:val="003D76E6"/>
    <w:rsid w:val="003E1B38"/>
    <w:rsid w:val="003E2460"/>
    <w:rsid w:val="00410B9C"/>
    <w:rsid w:val="00412548"/>
    <w:rsid w:val="004132F4"/>
    <w:rsid w:val="00430D66"/>
    <w:rsid w:val="00432F9A"/>
    <w:rsid w:val="00467A1B"/>
    <w:rsid w:val="004704BC"/>
    <w:rsid w:val="004D3551"/>
    <w:rsid w:val="004D40D9"/>
    <w:rsid w:val="004F2872"/>
    <w:rsid w:val="004F3879"/>
    <w:rsid w:val="00517CDA"/>
    <w:rsid w:val="005252AE"/>
    <w:rsid w:val="0055310E"/>
    <w:rsid w:val="0057173E"/>
    <w:rsid w:val="005752DB"/>
    <w:rsid w:val="00576684"/>
    <w:rsid w:val="00576D8B"/>
    <w:rsid w:val="005A2480"/>
    <w:rsid w:val="005A67F1"/>
    <w:rsid w:val="005B135C"/>
    <w:rsid w:val="005B2C11"/>
    <w:rsid w:val="005C50CF"/>
    <w:rsid w:val="005D5E6A"/>
    <w:rsid w:val="00600E6F"/>
    <w:rsid w:val="00601EB1"/>
    <w:rsid w:val="0062165F"/>
    <w:rsid w:val="006222D5"/>
    <w:rsid w:val="00627990"/>
    <w:rsid w:val="00630C9E"/>
    <w:rsid w:val="00640B98"/>
    <w:rsid w:val="00641EA9"/>
    <w:rsid w:val="0064649A"/>
    <w:rsid w:val="006516C9"/>
    <w:rsid w:val="0066289F"/>
    <w:rsid w:val="006645FA"/>
    <w:rsid w:val="00696957"/>
    <w:rsid w:val="006B2C87"/>
    <w:rsid w:val="006E32B0"/>
    <w:rsid w:val="006E3B67"/>
    <w:rsid w:val="006F14B1"/>
    <w:rsid w:val="00700EF6"/>
    <w:rsid w:val="007160A9"/>
    <w:rsid w:val="00717264"/>
    <w:rsid w:val="00741606"/>
    <w:rsid w:val="007453FC"/>
    <w:rsid w:val="00762387"/>
    <w:rsid w:val="00781137"/>
    <w:rsid w:val="00784F6B"/>
    <w:rsid w:val="0078756A"/>
    <w:rsid w:val="007A18C4"/>
    <w:rsid w:val="007A4334"/>
    <w:rsid w:val="007C69E3"/>
    <w:rsid w:val="007D3EDA"/>
    <w:rsid w:val="007E3F21"/>
    <w:rsid w:val="007F02E6"/>
    <w:rsid w:val="00803B2C"/>
    <w:rsid w:val="00803D52"/>
    <w:rsid w:val="00810CEE"/>
    <w:rsid w:val="0081295A"/>
    <w:rsid w:val="00813B84"/>
    <w:rsid w:val="00825203"/>
    <w:rsid w:val="00835E4F"/>
    <w:rsid w:val="00844892"/>
    <w:rsid w:val="008663D2"/>
    <w:rsid w:val="00877944"/>
    <w:rsid w:val="00891D10"/>
    <w:rsid w:val="00897807"/>
    <w:rsid w:val="008B1660"/>
    <w:rsid w:val="008C71B1"/>
    <w:rsid w:val="008D6B41"/>
    <w:rsid w:val="008E0D02"/>
    <w:rsid w:val="009033F7"/>
    <w:rsid w:val="009138CB"/>
    <w:rsid w:val="009150ED"/>
    <w:rsid w:val="0091542D"/>
    <w:rsid w:val="00946699"/>
    <w:rsid w:val="00952A1B"/>
    <w:rsid w:val="009540B0"/>
    <w:rsid w:val="00966943"/>
    <w:rsid w:val="009A684E"/>
    <w:rsid w:val="009A7F36"/>
    <w:rsid w:val="009B29F0"/>
    <w:rsid w:val="009B4C74"/>
    <w:rsid w:val="009F036F"/>
    <w:rsid w:val="009F2CC6"/>
    <w:rsid w:val="009F75C4"/>
    <w:rsid w:val="00A053D3"/>
    <w:rsid w:val="00A065DF"/>
    <w:rsid w:val="00A17D11"/>
    <w:rsid w:val="00A2092A"/>
    <w:rsid w:val="00A24E39"/>
    <w:rsid w:val="00A43D1B"/>
    <w:rsid w:val="00A6786F"/>
    <w:rsid w:val="00A81628"/>
    <w:rsid w:val="00A90371"/>
    <w:rsid w:val="00AA0BFD"/>
    <w:rsid w:val="00AA1D8D"/>
    <w:rsid w:val="00AA25D8"/>
    <w:rsid w:val="00AB0BC0"/>
    <w:rsid w:val="00AB28E8"/>
    <w:rsid w:val="00AB3287"/>
    <w:rsid w:val="00AF4624"/>
    <w:rsid w:val="00AF742D"/>
    <w:rsid w:val="00B15A0A"/>
    <w:rsid w:val="00B2127F"/>
    <w:rsid w:val="00B24F35"/>
    <w:rsid w:val="00B26D71"/>
    <w:rsid w:val="00B271E4"/>
    <w:rsid w:val="00B368FE"/>
    <w:rsid w:val="00B4221E"/>
    <w:rsid w:val="00B42241"/>
    <w:rsid w:val="00B47730"/>
    <w:rsid w:val="00B56360"/>
    <w:rsid w:val="00B60A4C"/>
    <w:rsid w:val="00B677E7"/>
    <w:rsid w:val="00B85319"/>
    <w:rsid w:val="00BA0C50"/>
    <w:rsid w:val="00BA7C4D"/>
    <w:rsid w:val="00BB1233"/>
    <w:rsid w:val="00BD53AF"/>
    <w:rsid w:val="00BE1308"/>
    <w:rsid w:val="00BE202A"/>
    <w:rsid w:val="00BF24E5"/>
    <w:rsid w:val="00BF5086"/>
    <w:rsid w:val="00C218A9"/>
    <w:rsid w:val="00C23CBA"/>
    <w:rsid w:val="00C26B75"/>
    <w:rsid w:val="00C36803"/>
    <w:rsid w:val="00C51D8F"/>
    <w:rsid w:val="00C52DC3"/>
    <w:rsid w:val="00C74A08"/>
    <w:rsid w:val="00C97FAF"/>
    <w:rsid w:val="00CA30B9"/>
    <w:rsid w:val="00CA479C"/>
    <w:rsid w:val="00CB0664"/>
    <w:rsid w:val="00CB1E2E"/>
    <w:rsid w:val="00CC51BA"/>
    <w:rsid w:val="00CC5AAD"/>
    <w:rsid w:val="00CD32BB"/>
    <w:rsid w:val="00CD6B4A"/>
    <w:rsid w:val="00D10CD5"/>
    <w:rsid w:val="00D1551C"/>
    <w:rsid w:val="00D20A82"/>
    <w:rsid w:val="00D20ABD"/>
    <w:rsid w:val="00D20D51"/>
    <w:rsid w:val="00D44559"/>
    <w:rsid w:val="00D45702"/>
    <w:rsid w:val="00D56804"/>
    <w:rsid w:val="00D60EE4"/>
    <w:rsid w:val="00D742CA"/>
    <w:rsid w:val="00D92CAD"/>
    <w:rsid w:val="00DB09C1"/>
    <w:rsid w:val="00DB5100"/>
    <w:rsid w:val="00DC4F26"/>
    <w:rsid w:val="00DD5E8F"/>
    <w:rsid w:val="00DE26AB"/>
    <w:rsid w:val="00DF3E38"/>
    <w:rsid w:val="00E05DA4"/>
    <w:rsid w:val="00E069A9"/>
    <w:rsid w:val="00E32441"/>
    <w:rsid w:val="00E35879"/>
    <w:rsid w:val="00E402B3"/>
    <w:rsid w:val="00E426DA"/>
    <w:rsid w:val="00E67317"/>
    <w:rsid w:val="00E8048C"/>
    <w:rsid w:val="00E805D2"/>
    <w:rsid w:val="00E84F68"/>
    <w:rsid w:val="00E90A60"/>
    <w:rsid w:val="00E94A26"/>
    <w:rsid w:val="00E95883"/>
    <w:rsid w:val="00EA5F77"/>
    <w:rsid w:val="00EC2B06"/>
    <w:rsid w:val="00EE2952"/>
    <w:rsid w:val="00EE4B05"/>
    <w:rsid w:val="00F04A14"/>
    <w:rsid w:val="00F30533"/>
    <w:rsid w:val="00F30D26"/>
    <w:rsid w:val="00F61176"/>
    <w:rsid w:val="00F71E30"/>
    <w:rsid w:val="00F86232"/>
    <w:rsid w:val="00F86EB7"/>
    <w:rsid w:val="00FA312B"/>
    <w:rsid w:val="00FA7DCC"/>
    <w:rsid w:val="00FC693F"/>
    <w:rsid w:val="00FD560D"/>
    <w:rsid w:val="00FE60B6"/>
    <w:rsid w:val="00FF5D5E"/>
    <w:rsid w:val="01A4A919"/>
    <w:rsid w:val="02B4E615"/>
    <w:rsid w:val="02C45B99"/>
    <w:rsid w:val="02D27DE9"/>
    <w:rsid w:val="030B2D01"/>
    <w:rsid w:val="05195BE4"/>
    <w:rsid w:val="0608D00F"/>
    <w:rsid w:val="081D8718"/>
    <w:rsid w:val="0874C4A6"/>
    <w:rsid w:val="08AEFBDD"/>
    <w:rsid w:val="0A4096DC"/>
    <w:rsid w:val="0BBA0CA3"/>
    <w:rsid w:val="0E2BD9B4"/>
    <w:rsid w:val="0ECB199F"/>
    <w:rsid w:val="0F57447E"/>
    <w:rsid w:val="103E7FE4"/>
    <w:rsid w:val="10C3F8E6"/>
    <w:rsid w:val="114652F3"/>
    <w:rsid w:val="11A2AF30"/>
    <w:rsid w:val="14DAE99E"/>
    <w:rsid w:val="16ABA004"/>
    <w:rsid w:val="176A26DA"/>
    <w:rsid w:val="19D1D5AA"/>
    <w:rsid w:val="1A687844"/>
    <w:rsid w:val="1C5404B1"/>
    <w:rsid w:val="1CABB8A1"/>
    <w:rsid w:val="1DBF01B1"/>
    <w:rsid w:val="1E1D7448"/>
    <w:rsid w:val="1E35E022"/>
    <w:rsid w:val="1FF605A9"/>
    <w:rsid w:val="256479B1"/>
    <w:rsid w:val="25C6A8D8"/>
    <w:rsid w:val="27125E4D"/>
    <w:rsid w:val="274437E0"/>
    <w:rsid w:val="276AE385"/>
    <w:rsid w:val="28242E6F"/>
    <w:rsid w:val="285445DA"/>
    <w:rsid w:val="2A3EBD47"/>
    <w:rsid w:val="2E393BD8"/>
    <w:rsid w:val="2FCEF645"/>
    <w:rsid w:val="30E9C22E"/>
    <w:rsid w:val="31279EEE"/>
    <w:rsid w:val="333BC399"/>
    <w:rsid w:val="35D967B6"/>
    <w:rsid w:val="36153DE5"/>
    <w:rsid w:val="365BF888"/>
    <w:rsid w:val="374549AF"/>
    <w:rsid w:val="376968FD"/>
    <w:rsid w:val="376EA351"/>
    <w:rsid w:val="37D67C89"/>
    <w:rsid w:val="38532686"/>
    <w:rsid w:val="38B2D9B7"/>
    <w:rsid w:val="38C3B1F3"/>
    <w:rsid w:val="38D0500A"/>
    <w:rsid w:val="3965272A"/>
    <w:rsid w:val="39BDD661"/>
    <w:rsid w:val="3A9F5DFE"/>
    <w:rsid w:val="3AFD310B"/>
    <w:rsid w:val="3B398D9B"/>
    <w:rsid w:val="3BAD00C8"/>
    <w:rsid w:val="3D6F8050"/>
    <w:rsid w:val="3DCA7CAF"/>
    <w:rsid w:val="3E5C16B7"/>
    <w:rsid w:val="3ED673ED"/>
    <w:rsid w:val="3F78C262"/>
    <w:rsid w:val="403E6E80"/>
    <w:rsid w:val="414946B5"/>
    <w:rsid w:val="41CC2079"/>
    <w:rsid w:val="4298E58F"/>
    <w:rsid w:val="444E268F"/>
    <w:rsid w:val="4586464B"/>
    <w:rsid w:val="45AEA5AB"/>
    <w:rsid w:val="46144340"/>
    <w:rsid w:val="48B29F2F"/>
    <w:rsid w:val="4902828D"/>
    <w:rsid w:val="495941E9"/>
    <w:rsid w:val="4AC70A47"/>
    <w:rsid w:val="4BB7285C"/>
    <w:rsid w:val="4DE8D3FF"/>
    <w:rsid w:val="4E4943AC"/>
    <w:rsid w:val="4F4B0D5A"/>
    <w:rsid w:val="50E2498F"/>
    <w:rsid w:val="52931C0D"/>
    <w:rsid w:val="52E1355D"/>
    <w:rsid w:val="533D1C91"/>
    <w:rsid w:val="5548E160"/>
    <w:rsid w:val="55590DA7"/>
    <w:rsid w:val="568E0D81"/>
    <w:rsid w:val="58823596"/>
    <w:rsid w:val="58C881B7"/>
    <w:rsid w:val="5947DCE5"/>
    <w:rsid w:val="5964F22B"/>
    <w:rsid w:val="5B0AA7DC"/>
    <w:rsid w:val="5B244EFB"/>
    <w:rsid w:val="5DA2273C"/>
    <w:rsid w:val="5E720837"/>
    <w:rsid w:val="5FE1E9B7"/>
    <w:rsid w:val="6070789F"/>
    <w:rsid w:val="60A185F3"/>
    <w:rsid w:val="6148D34A"/>
    <w:rsid w:val="61BFE406"/>
    <w:rsid w:val="61C53390"/>
    <w:rsid w:val="645ACEEC"/>
    <w:rsid w:val="674629B6"/>
    <w:rsid w:val="67878FD5"/>
    <w:rsid w:val="6BA8C8C9"/>
    <w:rsid w:val="6E65DB32"/>
    <w:rsid w:val="70F21A3B"/>
    <w:rsid w:val="7545B182"/>
    <w:rsid w:val="7859D596"/>
    <w:rsid w:val="79A36207"/>
    <w:rsid w:val="79AF7097"/>
    <w:rsid w:val="7A3BDD55"/>
    <w:rsid w:val="7BEC0245"/>
    <w:rsid w:val="7E0EB511"/>
    <w:rsid w:val="7E628B11"/>
    <w:rsid w:val="7EB6457C"/>
    <w:rsid w:val="7F6DB351"/>
    <w:rsid w:val="7F727271"/>
    <w:rsid w:val="7F90C3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FF0B19"/>
  <w14:defaultImageDpi w14:val="300"/>
  <w15:docId w15:val="{128163C3-6FFC-4C4F-AA90-4CEB0564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17"/>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19"/>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E2460"/>
    <w:rPr>
      <w:color w:val="0000FF" w:themeColor="hyperlink"/>
      <w:u w:val="single"/>
    </w:rPr>
  </w:style>
  <w:style w:type="character" w:styleId="UnresolvedMention">
    <w:name w:val="Unresolved Mention"/>
    <w:basedOn w:val="DefaultParagraphFont"/>
    <w:uiPriority w:val="99"/>
    <w:semiHidden/>
    <w:unhideWhenUsed/>
    <w:rsid w:val="003E2460"/>
    <w:rPr>
      <w:color w:val="605E5C"/>
      <w:shd w:val="clear" w:color="auto" w:fill="E1DFDD"/>
    </w:rPr>
  </w:style>
  <w:style w:type="character" w:customStyle="1" w:styleId="cf01">
    <w:name w:val="cf01"/>
    <w:basedOn w:val="DefaultParagraphFont"/>
    <w:uiPriority w:val="1"/>
    <w:rsid w:val="02C45B99"/>
    <w:rPr>
      <w:rFonts w:asciiTheme="minorHAnsi" w:eastAsiaTheme="minorEastAsia" w:hAnsiTheme="minorHAnsi" w:cstheme="minorBidi"/>
      <w:sz w:val="18"/>
      <w:szCs w:val="18"/>
    </w:rPr>
  </w:style>
  <w:style w:type="character" w:customStyle="1" w:styleId="Hipervnculovisitado">
    <w:name w:val="Hipervínculo visitado"/>
    <w:basedOn w:val="DefaultParagraphFont"/>
    <w:uiPriority w:val="99"/>
    <w:semiHidden/>
    <w:unhideWhenUsed/>
    <w:rsid w:val="00B368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griculture.ec.europa.eu/media/news/driving-sustainable-farming-new-guidance-cap-2028-2034-2026-04-28_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2F7AA7165CFAD49A197B58F7C828321" ma:contentTypeVersion="16" ma:contentTypeDescription="Crear nuevo documento." ma:contentTypeScope="" ma:versionID="b78cd424b3668a40ca1444dfdd8e76f1">
  <xsd:schema xmlns:xsd="http://www.w3.org/2001/XMLSchema" xmlns:xs="http://www.w3.org/2001/XMLSchema" xmlns:p="http://schemas.microsoft.com/office/2006/metadata/properties" xmlns:ns2="a375dcb6-7e40-4f31-9d28-070798583648" xmlns:ns3="c8b36f34-4a8d-477c-9bcd-2a99b13e2d37" targetNamespace="http://schemas.microsoft.com/office/2006/metadata/properties" ma:root="true" ma:fieldsID="cfd6f03ce9d20073ce54187f02cafb0c" ns2:_="" ns3:_="">
    <xsd:import namespace="a375dcb6-7e40-4f31-9d28-070798583648"/>
    <xsd:import namespace="c8b36f34-4a8d-477c-9bcd-2a99b13e2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75dcb6-7e40-4f31-9d28-070798583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7cb6a1b-b375-45f4-8b52-98c866b3d7b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36f34-4a8d-477c-9bcd-2a99b13e2d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422289-4417-4adc-87b9-8dfcdfa95046}" ma:internalName="TaxCatchAll" ma:showField="CatchAllData" ma:web="c8b36f34-4a8d-477c-9bcd-2a99b13e2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75dcb6-7e40-4f31-9d28-070798583648">
      <Terms xmlns="http://schemas.microsoft.com/office/infopath/2007/PartnerControls"/>
    </lcf76f155ced4ddcb4097134ff3c332f>
    <TaxCatchAll xmlns="c8b36f34-4a8d-477c-9bcd-2a99b13e2d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8DE19-F789-45D5-8530-9BD90AAAC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75dcb6-7e40-4f31-9d28-070798583648"/>
    <ds:schemaRef ds:uri="c8b36f34-4a8d-477c-9bcd-2a99b13e2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DE65CF-504B-49BB-8CEC-FD22B3D0F7E6}">
  <ds:schemaRefs>
    <ds:schemaRef ds:uri="http://schemas.microsoft.com/office/2006/metadata/properties"/>
    <ds:schemaRef ds:uri="http://schemas.microsoft.com/office/infopath/2007/PartnerControls"/>
    <ds:schemaRef ds:uri="a375dcb6-7e40-4f31-9d28-070798583648"/>
    <ds:schemaRef ds:uri="c8b36f34-4a8d-477c-9bcd-2a99b13e2d37"/>
  </ds:schemaRefs>
</ds:datastoreItem>
</file>

<file path=customXml/itemProps3.xml><?xml version="1.0" encoding="utf-8"?>
<ds:datastoreItem xmlns:ds="http://schemas.openxmlformats.org/officeDocument/2006/customXml" ds:itemID="{54967F87-D98A-4FA6-ADF0-038332F1EF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Carmen Egea Santiago</cp:lastModifiedBy>
  <cp:revision>5</cp:revision>
  <cp:lastPrinted>2026-06-03T05:52:00Z</cp:lastPrinted>
  <dcterms:created xsi:type="dcterms:W3CDTF">2026-06-15T18:40:00Z</dcterms:created>
  <dcterms:modified xsi:type="dcterms:W3CDTF">2026-06-18T12:10:00Z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0x01010062F7AA7165CFAD49A197B58F7C828321</vt:lpwstr>
  </property>
  <property fmtid="{D5CDD505-2E9C-101B-9397-08002B2CF9AE}" pid="3" name="MediaServiceImageTags">
    <vt:lpwstr/>
  </property>
</Properties>
</file>